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3A" w:rsidRDefault="00B5583A">
      <w:pPr>
        <w:widowControl w:val="0"/>
        <w:rPr>
          <w:snapToGrid w:val="0"/>
        </w:rPr>
      </w:pPr>
      <w:bookmarkStart w:id="0" w:name="_GoBack"/>
      <w:bookmarkEnd w:id="0"/>
    </w:p>
    <w:p w:rsidR="00250603" w:rsidRDefault="00250603">
      <w:pPr>
        <w:widowControl w:val="0"/>
        <w:rPr>
          <w:snapToGrid w:val="0"/>
        </w:rPr>
      </w:pPr>
    </w:p>
    <w:p w:rsidR="00F969E9" w:rsidRPr="00F969E9" w:rsidRDefault="00F969E9" w:rsidP="00F969E9">
      <w:pPr>
        <w:pStyle w:val="Titel"/>
        <w:rPr>
          <w:u w:val="none"/>
        </w:rPr>
      </w:pPr>
      <w:r w:rsidRPr="00F969E9">
        <w:rPr>
          <w:u w:val="none"/>
        </w:rPr>
        <w:t>Allgemeine Bestimmungen für den</w:t>
      </w:r>
    </w:p>
    <w:p w:rsidR="00F969E9" w:rsidRPr="00F969E9" w:rsidRDefault="00F969E9" w:rsidP="00F969E9">
      <w:pPr>
        <w:pStyle w:val="Titel"/>
        <w:rPr>
          <w:smallCaps/>
          <w:u w:val="none"/>
        </w:rPr>
      </w:pPr>
      <w:r w:rsidRPr="00F969E9">
        <w:rPr>
          <w:smallCaps/>
          <w:u w:val="none"/>
        </w:rPr>
        <w:t xml:space="preserve">Hamburg-Kredit </w:t>
      </w:r>
      <w:r w:rsidR="00AC3357">
        <w:rPr>
          <w:smallCaps/>
          <w:u w:val="none"/>
        </w:rPr>
        <w:t>Wachstum</w:t>
      </w:r>
    </w:p>
    <w:p w:rsidR="00F969E9" w:rsidRPr="00F969E9" w:rsidRDefault="004F50A2" w:rsidP="00F969E9">
      <w:pPr>
        <w:pStyle w:val="Titel"/>
        <w:rPr>
          <w:smallCaps/>
          <w:u w:val="none"/>
        </w:rPr>
      </w:pPr>
      <w:r>
        <w:rPr>
          <w:u w:val="none"/>
        </w:rPr>
        <w:t>–</w:t>
      </w:r>
      <w:r w:rsidR="00F969E9" w:rsidRPr="00F969E9">
        <w:rPr>
          <w:u w:val="none"/>
        </w:rPr>
        <w:t xml:space="preserve"> Vertragsverhältnis Hausbank </w:t>
      </w:r>
      <w:r>
        <w:rPr>
          <w:u w:val="none"/>
        </w:rPr>
        <w:t>–</w:t>
      </w:r>
      <w:r w:rsidR="00F969E9" w:rsidRPr="00F969E9">
        <w:rPr>
          <w:u w:val="none"/>
        </w:rPr>
        <w:t xml:space="preserve"> Endkreditnehmer</w:t>
      </w:r>
      <w:r w:rsidR="00F969E9" w:rsidRPr="00F969E9">
        <w:rPr>
          <w:smallCaps/>
          <w:u w:val="none"/>
        </w:rPr>
        <w:t xml:space="preserve"> </w:t>
      </w:r>
      <w:r>
        <w:rPr>
          <w:smallCaps/>
          <w:u w:val="none"/>
        </w:rPr>
        <w:t>–</w:t>
      </w:r>
    </w:p>
    <w:p w:rsidR="00F969E9" w:rsidRDefault="00F969E9" w:rsidP="00F969E9">
      <w:pPr>
        <w:jc w:val="center"/>
        <w:rPr>
          <w:b/>
        </w:rPr>
      </w:pPr>
    </w:p>
    <w:p w:rsidR="00F969E9" w:rsidRPr="006D2058" w:rsidRDefault="004F50A2" w:rsidP="00F969E9">
      <w:pPr>
        <w:jc w:val="center"/>
        <w:rPr>
          <w:b/>
        </w:rPr>
      </w:pPr>
      <w:r>
        <w:rPr>
          <w:b/>
        </w:rPr>
        <w:t>–</w:t>
      </w:r>
      <w:r w:rsidR="00F969E9" w:rsidRPr="006D2058">
        <w:rPr>
          <w:b/>
        </w:rPr>
        <w:t xml:space="preserve"> Fassung </w:t>
      </w:r>
      <w:r w:rsidR="00F969E9">
        <w:rPr>
          <w:b/>
        </w:rPr>
        <w:t>0</w:t>
      </w:r>
      <w:r w:rsidR="00BD52CE">
        <w:rPr>
          <w:b/>
        </w:rPr>
        <w:t>2</w:t>
      </w:r>
      <w:r w:rsidR="00F969E9">
        <w:rPr>
          <w:b/>
        </w:rPr>
        <w:t>/201</w:t>
      </w:r>
      <w:r w:rsidR="00BD52CE">
        <w:rPr>
          <w:b/>
        </w:rPr>
        <w:t>7</w:t>
      </w:r>
      <w:r w:rsidR="00F969E9">
        <w:rPr>
          <w:b/>
        </w:rPr>
        <w:t xml:space="preserve"> </w:t>
      </w:r>
      <w:r>
        <w:rPr>
          <w:b/>
        </w:rPr>
        <w:t>–</w:t>
      </w:r>
    </w:p>
    <w:p w:rsidR="00B5583A" w:rsidRPr="00686556" w:rsidRDefault="00B5583A">
      <w:pPr>
        <w:widowControl w:val="0"/>
        <w:rPr>
          <w:snapToGrid w:val="0"/>
        </w:rPr>
      </w:pPr>
    </w:p>
    <w:p w:rsidR="00B5583A" w:rsidRPr="00686556" w:rsidRDefault="00B5583A">
      <w:pPr>
        <w:widowControl w:val="0"/>
        <w:rPr>
          <w:snapToGrid w:val="0"/>
        </w:rPr>
      </w:pPr>
    </w:p>
    <w:p w:rsidR="00B5583A" w:rsidRPr="00686556" w:rsidRDefault="00F969E9" w:rsidP="00F969E9">
      <w:pPr>
        <w:widowControl w:val="0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Einleitung</w:t>
      </w:r>
    </w:p>
    <w:p w:rsidR="00B5583A" w:rsidRPr="00686556" w:rsidRDefault="00B5583A">
      <w:pPr>
        <w:widowControl w:val="0"/>
        <w:tabs>
          <w:tab w:val="left" w:pos="465"/>
          <w:tab w:val="right" w:pos="6444"/>
        </w:tabs>
        <w:jc w:val="both"/>
        <w:rPr>
          <w:b/>
          <w:snapToGrid w:val="0"/>
          <w:u w:val="single"/>
        </w:rPr>
      </w:pPr>
    </w:p>
    <w:p w:rsidR="00F969E9" w:rsidRDefault="00F969E9" w:rsidP="00F969E9">
      <w:pPr>
        <w:pStyle w:val="Textkrper-Zeileneinzug"/>
        <w:ind w:left="0" w:firstLine="0"/>
      </w:pPr>
      <w:r w:rsidRPr="00943A81">
        <w:t>Für Kredite der Hamburgischen Investitions- und Förderbank (</w:t>
      </w:r>
      <w:r w:rsidR="0043617C">
        <w:t>IFB Hamburg</w:t>
      </w:r>
      <w:r w:rsidRPr="00943A81">
        <w:t>) aus dem Pr</w:t>
      </w:r>
      <w:r w:rsidRPr="00943A81">
        <w:t>o</w:t>
      </w:r>
      <w:r w:rsidRPr="00943A81">
        <w:t xml:space="preserve">gramm </w:t>
      </w:r>
      <w:r>
        <w:t>Hamburg-Kredit</w:t>
      </w:r>
      <w:r w:rsidRPr="00943A81">
        <w:t xml:space="preserve"> </w:t>
      </w:r>
      <w:r w:rsidR="00AC3357">
        <w:t xml:space="preserve">Wachstum </w:t>
      </w:r>
      <w:r w:rsidRPr="00943A81">
        <w:t>gelten die nachfolgenden Allgemeinen Bestimmungen.</w:t>
      </w:r>
    </w:p>
    <w:p w:rsidR="00F969E9" w:rsidRDefault="00F969E9" w:rsidP="00F969E9">
      <w:pPr>
        <w:pStyle w:val="Textkrper-Zeileneinzug"/>
        <w:ind w:left="0" w:hanging="11"/>
      </w:pPr>
    </w:p>
    <w:p w:rsidR="00F969E9" w:rsidRPr="00943A81" w:rsidRDefault="00F969E9" w:rsidP="00F969E9">
      <w:pPr>
        <w:pStyle w:val="Textkrper-Zeileneinzug"/>
        <w:rPr>
          <w:b/>
        </w:rPr>
      </w:pPr>
      <w:r w:rsidRPr="00943A81">
        <w:rPr>
          <w:b/>
        </w:rPr>
        <w:t xml:space="preserve">Beziehung zwischen Endkreditnehmer – Hausbank – </w:t>
      </w:r>
      <w:r w:rsidR="0043617C">
        <w:rPr>
          <w:b/>
        </w:rPr>
        <w:t>IFB Hamburg</w:t>
      </w:r>
    </w:p>
    <w:p w:rsidR="00F969E9" w:rsidRPr="00943A81" w:rsidRDefault="00F969E9" w:rsidP="00F969E9">
      <w:pPr>
        <w:pStyle w:val="Textkrper-Zeileneinzug"/>
        <w:ind w:left="0" w:firstLine="0"/>
      </w:pPr>
      <w:r w:rsidRPr="00943A81">
        <w:t xml:space="preserve">Die </w:t>
      </w:r>
      <w:r w:rsidR="0043617C">
        <w:t>IFB Hamburg</w:t>
      </w:r>
      <w:r w:rsidRPr="00943A81">
        <w:t xml:space="preserve"> gewährt den </w:t>
      </w:r>
      <w:r>
        <w:t>Hamburg-Kredit</w:t>
      </w:r>
      <w:r w:rsidRPr="00943A81">
        <w:t xml:space="preserve"> </w:t>
      </w:r>
      <w:r w:rsidR="00AC3357">
        <w:t xml:space="preserve">Wachstum </w:t>
      </w:r>
      <w:r w:rsidRPr="00943A81">
        <w:t xml:space="preserve">in Kooperation mit der KfW. Der </w:t>
      </w:r>
      <w:r>
        <w:t>Hamburg-Kredit</w:t>
      </w:r>
      <w:r w:rsidR="00AC3357">
        <w:t xml:space="preserve"> Wachstum</w:t>
      </w:r>
      <w:r w:rsidRPr="00943A81">
        <w:t xml:space="preserve"> wird nicht unmittelbar an den Endkreditnehmer vergeben, so</w:t>
      </w:r>
      <w:r w:rsidRPr="00943A81">
        <w:t>n</w:t>
      </w:r>
      <w:r w:rsidRPr="00943A81">
        <w:t xml:space="preserve">dern ausschließlich über Kreditinstitute, die für diesen Kredit die Haftung gegenüber der </w:t>
      </w:r>
      <w:r w:rsidR="0043617C">
        <w:t>IFB Hamburg</w:t>
      </w:r>
      <w:r w:rsidRPr="00943A81">
        <w:t xml:space="preserve"> übernehmen. Der Antrag ist daher durch den Endkreditnehmer bei einem Krediti</w:t>
      </w:r>
      <w:r w:rsidRPr="00943A81">
        <w:t>n</w:t>
      </w:r>
      <w:r w:rsidRPr="00943A81">
        <w:t>stitut seiner Wahl, z.B. seiner Hausbank, zu stellen.</w:t>
      </w:r>
    </w:p>
    <w:p w:rsidR="00F969E9" w:rsidRPr="00943A81" w:rsidRDefault="00F969E9" w:rsidP="00F969E9">
      <w:pPr>
        <w:pStyle w:val="Textkrper-Zeileneinzug"/>
      </w:pPr>
    </w:p>
    <w:p w:rsidR="00F969E9" w:rsidRPr="00943A81" w:rsidRDefault="00F969E9" w:rsidP="00F969E9">
      <w:pPr>
        <w:pStyle w:val="Textkrper-Zeileneinzug"/>
        <w:ind w:left="0" w:firstLine="0"/>
      </w:pPr>
      <w:r w:rsidRPr="00943A81">
        <w:t xml:space="preserve">Die </w:t>
      </w:r>
      <w:r w:rsidR="0043617C">
        <w:t>IFB Hamburg</w:t>
      </w:r>
      <w:r w:rsidRPr="00943A81">
        <w:t xml:space="preserve"> refinanziert sich im Wesentlichen über Globaldarlehen der KfW und verbi</w:t>
      </w:r>
      <w:r w:rsidRPr="00943A81">
        <w:t>l</w:t>
      </w:r>
      <w:r w:rsidRPr="00943A81">
        <w:t>ligt aufgrund ihrer Funktion als Förderbank deren Konditionen für die Endkreditnehmer um weitere 20 Basispunkte (für einen Zeitraum von maximal 10 Jahren).</w:t>
      </w:r>
    </w:p>
    <w:p w:rsidR="00F969E9" w:rsidRPr="00943A81" w:rsidRDefault="00F969E9" w:rsidP="00F969E9">
      <w:pPr>
        <w:pStyle w:val="Textkrper-Zeileneinzug"/>
        <w:ind w:left="0" w:firstLine="0"/>
      </w:pPr>
    </w:p>
    <w:p w:rsidR="00F969E9" w:rsidRPr="00943A81" w:rsidRDefault="00F969E9" w:rsidP="00F969E9">
      <w:pPr>
        <w:pStyle w:val="Textkrper-Zeileneinzug"/>
        <w:ind w:left="0" w:firstLine="0"/>
      </w:pPr>
      <w:r w:rsidRPr="00943A81">
        <w:t xml:space="preserve">Bei der Konditionierung durch die Hausbank findet das risikogerechte Zinssystem der KfW („RGZS“) Anwendung. </w:t>
      </w:r>
    </w:p>
    <w:p w:rsidR="00F969E9" w:rsidRPr="00943A81" w:rsidRDefault="00F969E9" w:rsidP="00F969E9">
      <w:pPr>
        <w:pStyle w:val="Textkrper-Zeileneinzug"/>
        <w:ind w:left="0" w:firstLine="0"/>
      </w:pPr>
    </w:p>
    <w:p w:rsidR="00B5583A" w:rsidRPr="00686556" w:rsidRDefault="00F969E9" w:rsidP="00211A80">
      <w:pPr>
        <w:widowControl w:val="0"/>
        <w:jc w:val="both"/>
        <w:rPr>
          <w:snapToGrid w:val="0"/>
        </w:rPr>
      </w:pPr>
      <w:r w:rsidRPr="00943A81">
        <w:t xml:space="preserve">Kredite aus dem Programm </w:t>
      </w:r>
      <w:r>
        <w:t>Hamburg-Kredit</w:t>
      </w:r>
      <w:r w:rsidRPr="00943A81">
        <w:t xml:space="preserve"> </w:t>
      </w:r>
      <w:r w:rsidR="00AC3357">
        <w:t xml:space="preserve">Wachstum </w:t>
      </w:r>
      <w:r w:rsidRPr="00943A81">
        <w:t xml:space="preserve">der </w:t>
      </w:r>
      <w:r w:rsidR="0043617C">
        <w:t>IFB Hamburg</w:t>
      </w:r>
      <w:r w:rsidRPr="00943A81">
        <w:t xml:space="preserve"> enthalten Beihilfen gemäß der Verordnung (EG) Nr. </w:t>
      </w:r>
      <w:r w:rsidR="00951DD1">
        <w:t>1407</w:t>
      </w:r>
      <w:r w:rsidRPr="00943A81">
        <w:t>/20</w:t>
      </w:r>
      <w:r w:rsidR="00951DD1">
        <w:t>13</w:t>
      </w:r>
      <w:r w:rsidRPr="00943A81">
        <w:t xml:space="preserve"> der Kommission ("De-mi</w:t>
      </w:r>
      <w:r>
        <w:t>nimis"-Verordnung der EU), ver</w:t>
      </w:r>
      <w:r w:rsidRPr="00943A81">
        <w:t>öffentlicht im Amtsblatt der Europäischen Union Nummer L 3</w:t>
      </w:r>
      <w:r w:rsidR="00951DD1">
        <w:t>52 vom 24</w:t>
      </w:r>
      <w:r w:rsidRPr="00943A81">
        <w:t>.12.20</w:t>
      </w:r>
      <w:r w:rsidR="00951DD1">
        <w:t>13</w:t>
      </w:r>
      <w:r w:rsidRPr="00943A81">
        <w:t xml:space="preserve">. Diese verpflichten </w:t>
      </w:r>
      <w:r w:rsidR="0043617C">
        <w:t>IFB Hamburg</w:t>
      </w:r>
      <w:r w:rsidRPr="00943A81">
        <w:t xml:space="preserve"> und Antragsteller zur Einhaltung spezifischer Vorgaben. Detaillierte Informationen zu den beihilferechtlichen Vorgaben für den Antragsteller enthält das Merkblatt</w:t>
      </w:r>
      <w:r>
        <w:rPr>
          <w:snapToGrid w:val="0"/>
        </w:rPr>
        <w:t xml:space="preserve"> </w:t>
      </w:r>
      <w:r w:rsidR="002D7434">
        <w:rPr>
          <w:snapToGrid w:val="0"/>
        </w:rPr>
        <w:t>“Allgemeines Merkblatt zu Beihilfen“</w:t>
      </w:r>
      <w:r>
        <w:rPr>
          <w:snapToGrid w:val="0"/>
        </w:rPr>
        <w:t>.</w:t>
      </w:r>
    </w:p>
    <w:p w:rsidR="00B5583A" w:rsidRPr="00686556" w:rsidRDefault="00B5583A">
      <w:pPr>
        <w:widowControl w:val="0"/>
        <w:rPr>
          <w:snapToGrid w:val="0"/>
        </w:rPr>
      </w:pPr>
    </w:p>
    <w:p w:rsidR="00B5583A" w:rsidRPr="00686556" w:rsidRDefault="005A7D37">
      <w:pPr>
        <w:widowControl w:val="0"/>
        <w:numPr>
          <w:ilvl w:val="0"/>
          <w:numId w:val="1"/>
        </w:num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Verwendung</w:t>
      </w:r>
      <w:r w:rsidR="00F969E9">
        <w:rPr>
          <w:b/>
          <w:snapToGrid w:val="0"/>
          <w:u w:val="single"/>
        </w:rPr>
        <w:t xml:space="preserve"> der Mittel</w:t>
      </w:r>
    </w:p>
    <w:p w:rsidR="00B5583A" w:rsidRPr="00686556" w:rsidRDefault="00B5583A">
      <w:pPr>
        <w:widowControl w:val="0"/>
        <w:tabs>
          <w:tab w:val="left" w:pos="461"/>
          <w:tab w:val="right" w:pos="3525"/>
        </w:tabs>
        <w:jc w:val="both"/>
        <w:rPr>
          <w:snapToGrid w:val="0"/>
        </w:rPr>
      </w:pPr>
    </w:p>
    <w:p w:rsidR="00F969E9" w:rsidRPr="00F969E9" w:rsidRDefault="00F969E9" w:rsidP="00F969E9">
      <w:pPr>
        <w:numPr>
          <w:ilvl w:val="0"/>
          <w:numId w:val="17"/>
        </w:numPr>
        <w:ind w:left="919" w:hanging="448"/>
        <w:jc w:val="both"/>
      </w:pPr>
      <w:r w:rsidRPr="00F969E9">
        <w:t>Der Kredit darf nur zur Finanzierung des Vorhabens eingesetzt werden, für das der Kredit zugesagt worden ist. Das Kreditinstitut, das den Kreditvertrag mit dem En</w:t>
      </w:r>
      <w:r w:rsidRPr="00F969E9">
        <w:t>d</w:t>
      </w:r>
      <w:r w:rsidRPr="00F969E9">
        <w:t xml:space="preserve">kreditnehmer schließt (im Folgenden Hausbank), ist unverzüglich zu unterrichten, wenn das Investitionsvorhaben oder dessen Finanzierung sich ändern. </w:t>
      </w:r>
    </w:p>
    <w:p w:rsidR="00F969E9" w:rsidRPr="00F969E9" w:rsidRDefault="00F969E9" w:rsidP="00F969E9">
      <w:pPr>
        <w:ind w:left="993" w:hanging="567"/>
        <w:jc w:val="both"/>
      </w:pPr>
    </w:p>
    <w:p w:rsidR="00F969E9" w:rsidRPr="00F969E9" w:rsidRDefault="00F969E9" w:rsidP="00F969E9">
      <w:pPr>
        <w:numPr>
          <w:ilvl w:val="0"/>
          <w:numId w:val="17"/>
        </w:numPr>
        <w:ind w:left="919" w:hanging="448"/>
        <w:jc w:val="both"/>
      </w:pPr>
      <w:r w:rsidRPr="00F969E9">
        <w:t>Der Endkreditnehmer hat der Hausbank unaufgefordert unmittelbar nach Abschluss der Investitionen die Verwendung der Kreditmittel und die Erfüllung etwaiger Aufl</w:t>
      </w:r>
      <w:r w:rsidRPr="00F969E9">
        <w:t>a</w:t>
      </w:r>
      <w:r w:rsidRPr="00F969E9">
        <w:t>gen nachzuweisen.</w:t>
      </w:r>
    </w:p>
    <w:p w:rsidR="00B5583A" w:rsidRPr="00686556" w:rsidRDefault="00B5583A">
      <w:pPr>
        <w:widowControl w:val="0"/>
        <w:jc w:val="both"/>
        <w:rPr>
          <w:snapToGrid w:val="0"/>
        </w:rPr>
      </w:pPr>
    </w:p>
    <w:p w:rsidR="00B5583A" w:rsidRPr="00686556" w:rsidRDefault="00F969E9">
      <w:pPr>
        <w:keepNext/>
        <w:numPr>
          <w:ilvl w:val="0"/>
          <w:numId w:val="1"/>
        </w:num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Abruf der Mittel</w:t>
      </w:r>
    </w:p>
    <w:p w:rsidR="00B5583A" w:rsidRPr="00686556" w:rsidRDefault="00B5583A">
      <w:pPr>
        <w:keepNext/>
        <w:jc w:val="both"/>
        <w:rPr>
          <w:snapToGrid w:val="0"/>
        </w:rPr>
      </w:pPr>
    </w:p>
    <w:p w:rsidR="00CC2E60" w:rsidRDefault="002F1D1D" w:rsidP="002F1D1D">
      <w:pPr>
        <w:numPr>
          <w:ilvl w:val="0"/>
          <w:numId w:val="19"/>
        </w:numPr>
        <w:ind w:left="919" w:hanging="448"/>
        <w:jc w:val="both"/>
      </w:pPr>
      <w:r w:rsidRPr="00092A30">
        <w:t xml:space="preserve">Der Abruf des Kredits – gegebenenfalls in Teilbeträgen – bei der Hausbank darf erst erfolgen, wenn dieser innerhalb angemessener Frist </w:t>
      </w:r>
      <w:r w:rsidR="00CC2E60">
        <w:t xml:space="preserve">von 3 Monaten </w:t>
      </w:r>
      <w:r w:rsidRPr="00092A30">
        <w:t>dem fes</w:t>
      </w:r>
      <w:r w:rsidRPr="00092A30">
        <w:t>t</w:t>
      </w:r>
      <w:r w:rsidRPr="00092A30">
        <w:t>gelegten Verwendungszweck zugeführt werden kann. Stellt sich nach Auszahlung heraus, dass ein rechtzeitiger Mitteleinsatz nicht möglich ist, sind die entspreche</w:t>
      </w:r>
      <w:r w:rsidRPr="00092A30">
        <w:t>n</w:t>
      </w:r>
      <w:r w:rsidRPr="00092A30">
        <w:t xml:space="preserve">den Beträge unverzüglich an die Hausbank zur Weiterleitung an die </w:t>
      </w:r>
      <w:r w:rsidR="0043617C">
        <w:t>IFB Hamburg</w:t>
      </w:r>
      <w:r>
        <w:t xml:space="preserve"> </w:t>
      </w:r>
      <w:r w:rsidRPr="00092A30">
        <w:t>zurückzuzahlen. Ein erneuter Abruf ist möglich, wenn die o. g. Voraussetzungen e</w:t>
      </w:r>
      <w:r w:rsidRPr="00092A30">
        <w:t>r</w:t>
      </w:r>
      <w:r w:rsidRPr="00092A30">
        <w:t>füllt sind. Die Sätze 2 und 3 dieses Absatzes gelten nicht, wenn der Kredit den B</w:t>
      </w:r>
      <w:r w:rsidRPr="00092A30">
        <w:t>e</w:t>
      </w:r>
      <w:r w:rsidRPr="00092A30">
        <w:lastRenderedPageBreak/>
        <w:t>trag von 25.000 EUR nicht übersteigt. Die Sätze 2 und 3 dieses Absatzes gelten auch nicht für die letzte Auszahlungsrate eines Kredits, wenn diese den Betrag von 25.000 EUR nicht übersteigt. Die Hausbank ist berechtigt</w:t>
      </w:r>
      <w:r w:rsidR="002D7434">
        <w:t>,</w:t>
      </w:r>
      <w:r w:rsidRPr="00092A30">
        <w:t xml:space="preserve"> angemessene Mi</w:t>
      </w:r>
      <w:r w:rsidRPr="00092A30">
        <w:t>n</w:t>
      </w:r>
      <w:r w:rsidRPr="00092A30">
        <w:t>destabrufbeträge festzulegen.</w:t>
      </w:r>
    </w:p>
    <w:p w:rsidR="002F1D1D" w:rsidRPr="001D29D9" w:rsidRDefault="002F1D1D" w:rsidP="00CC2E60">
      <w:pPr>
        <w:jc w:val="both"/>
      </w:pPr>
    </w:p>
    <w:p w:rsidR="002F1D1D" w:rsidRPr="002F1D1D" w:rsidRDefault="0068166B" w:rsidP="002F1D1D">
      <w:pPr>
        <w:numPr>
          <w:ilvl w:val="0"/>
          <w:numId w:val="19"/>
        </w:numPr>
        <w:ind w:left="919" w:hanging="448"/>
        <w:jc w:val="both"/>
      </w:pPr>
      <w:r>
        <w:rPr>
          <w:rFonts w:cs="Arial"/>
          <w:szCs w:val="22"/>
        </w:rPr>
        <w:t>Von natürlichen Personen als gewerbliche oder freiberufliche Endkreditnehmer dü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fen die Kreditmittel nur abgerufen werden, wenn diese ihre Befugnis zur Geschäft</w:t>
      </w:r>
      <w:r>
        <w:rPr>
          <w:rFonts w:cs="Arial"/>
          <w:szCs w:val="22"/>
        </w:rPr>
        <w:t>s</w:t>
      </w:r>
      <w:r>
        <w:rPr>
          <w:rFonts w:cs="Arial"/>
          <w:szCs w:val="22"/>
        </w:rPr>
        <w:t>führung und Vertretung des Unternehmens bzw. der Kanzlei, der Praxis oder Ve</w:t>
      </w:r>
      <w:r>
        <w:rPr>
          <w:rFonts w:cs="Arial"/>
          <w:szCs w:val="22"/>
        </w:rPr>
        <w:t>r</w:t>
      </w:r>
      <w:r>
        <w:rPr>
          <w:rFonts w:cs="Arial"/>
          <w:szCs w:val="22"/>
        </w:rPr>
        <w:t>gleichbarem gegenüber der Hausbank nachgewiesen haben</w:t>
      </w:r>
      <w:r w:rsidR="002F1D1D" w:rsidRPr="002F1D1D">
        <w:t>.</w:t>
      </w:r>
    </w:p>
    <w:p w:rsidR="002F1D1D" w:rsidRDefault="002F1D1D" w:rsidP="002F1D1D">
      <w:pPr>
        <w:ind w:left="471"/>
        <w:jc w:val="both"/>
      </w:pPr>
    </w:p>
    <w:p w:rsidR="00B5583A" w:rsidRPr="00211A80" w:rsidRDefault="002F1D1D" w:rsidP="00211A80">
      <w:pPr>
        <w:numPr>
          <w:ilvl w:val="0"/>
          <w:numId w:val="19"/>
        </w:numPr>
        <w:ind w:left="919" w:hanging="448"/>
        <w:jc w:val="both"/>
      </w:pPr>
      <w:r w:rsidRPr="00092A30">
        <w:t>Wenn Gründe vorliegen, die zu einer Kündigung des Kreditvertrages berechtigen, kann die Hausbank die Auszahlung der Kreditmittel ablehnen.</w:t>
      </w:r>
    </w:p>
    <w:p w:rsidR="00B5583A" w:rsidRPr="00686556" w:rsidRDefault="00B5583A">
      <w:pPr>
        <w:widowControl w:val="0"/>
        <w:tabs>
          <w:tab w:val="left" w:pos="18"/>
          <w:tab w:val="left" w:pos="482"/>
          <w:tab w:val="left" w:pos="532"/>
        </w:tabs>
        <w:jc w:val="both"/>
        <w:rPr>
          <w:snapToGrid w:val="0"/>
        </w:rPr>
      </w:pPr>
    </w:p>
    <w:p w:rsidR="002F1D1D" w:rsidRPr="002F1D1D" w:rsidRDefault="002F1D1D" w:rsidP="002F1D1D">
      <w:pPr>
        <w:widowControl w:val="0"/>
        <w:numPr>
          <w:ilvl w:val="0"/>
          <w:numId w:val="1"/>
        </w:numPr>
        <w:jc w:val="both"/>
      </w:pPr>
      <w:r w:rsidRPr="002F1D1D">
        <w:rPr>
          <w:b/>
          <w:snapToGrid w:val="0"/>
          <w:u w:val="single"/>
        </w:rPr>
        <w:t>Kürzungsvorbehalt</w:t>
      </w:r>
    </w:p>
    <w:p w:rsidR="002F1D1D" w:rsidRPr="002F1D1D" w:rsidRDefault="002F1D1D" w:rsidP="002F1D1D">
      <w:pPr>
        <w:widowControl w:val="0"/>
        <w:jc w:val="both"/>
      </w:pPr>
    </w:p>
    <w:p w:rsidR="002F1D1D" w:rsidRPr="001D29D9" w:rsidRDefault="002F1D1D" w:rsidP="002F1D1D">
      <w:pPr>
        <w:widowControl w:val="0"/>
        <w:ind w:left="465"/>
        <w:jc w:val="both"/>
      </w:pPr>
      <w:r w:rsidRPr="001D29D9">
        <w:t xml:space="preserve">Die Hausbank ist berechtigt, den </w:t>
      </w:r>
      <w:r>
        <w:t>Kredit</w:t>
      </w:r>
      <w:r w:rsidRPr="001D29D9">
        <w:t>betrag anteilig zu kürzen, wenn sich der Umfang der im Investitionsplan veranschlagten Gesamtausgaben ermäßigt oder wenn sich der Anteil der öffentlichen Finanzierungsmittel erhöht. Betrifft die Kürzung bereits ausg</w:t>
      </w:r>
      <w:r w:rsidRPr="001D29D9">
        <w:t>e</w:t>
      </w:r>
      <w:r w:rsidRPr="001D29D9">
        <w:t xml:space="preserve">zahlte Beträge, so sind die Kürzungsbeträge von dem Endkreditnehmer unverzüglich an die Hausbank zur Weiterleitung an die </w:t>
      </w:r>
      <w:r w:rsidR="0043617C">
        <w:t>IFB Hamburg</w:t>
      </w:r>
      <w:r w:rsidRPr="001D29D9">
        <w:t xml:space="preserve"> zurückzuzahlen.</w:t>
      </w:r>
    </w:p>
    <w:p w:rsidR="004076DD" w:rsidRPr="00686556" w:rsidRDefault="002F1D1D" w:rsidP="00211A80">
      <w:pPr>
        <w:widowControl w:val="0"/>
        <w:tabs>
          <w:tab w:val="right" w:pos="10176"/>
        </w:tabs>
        <w:ind w:left="465"/>
        <w:jc w:val="both"/>
        <w:rPr>
          <w:snapToGrid w:val="0"/>
        </w:rPr>
      </w:pPr>
      <w:r w:rsidRPr="001D29D9">
        <w:t>Die Kürzungsbeträge werden grundsätzlich anteilig auf die noch ausstehenden Ti</w:t>
      </w:r>
      <w:r w:rsidRPr="001D29D9">
        <w:t>l</w:t>
      </w:r>
      <w:r w:rsidRPr="001D29D9">
        <w:t>gungsraten angerechnet, sofern im Einzelfall mit dem Endkreditnehmer keine andere Vereinbarung getroffen wird</w:t>
      </w:r>
      <w:r w:rsidR="00B5583A" w:rsidRPr="00686556">
        <w:rPr>
          <w:snapToGrid w:val="0"/>
        </w:rPr>
        <w:t>.</w:t>
      </w:r>
    </w:p>
    <w:p w:rsidR="00B5583A" w:rsidRPr="00686556" w:rsidRDefault="00B5583A">
      <w:pPr>
        <w:widowControl w:val="0"/>
        <w:jc w:val="both"/>
        <w:rPr>
          <w:snapToGrid w:val="0"/>
        </w:rPr>
      </w:pPr>
    </w:p>
    <w:p w:rsidR="00B5583A" w:rsidRPr="00250603" w:rsidRDefault="002F1D1D">
      <w:pPr>
        <w:widowControl w:val="0"/>
        <w:numPr>
          <w:ilvl w:val="0"/>
          <w:numId w:val="1"/>
        </w:num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Zinssatz und Zinstermine</w:t>
      </w:r>
    </w:p>
    <w:p w:rsidR="00B5583A" w:rsidRPr="00686556" w:rsidRDefault="00B5583A">
      <w:pPr>
        <w:widowControl w:val="0"/>
        <w:jc w:val="both"/>
        <w:rPr>
          <w:snapToGrid w:val="0"/>
        </w:rPr>
      </w:pPr>
    </w:p>
    <w:p w:rsidR="00B5583A" w:rsidRPr="00686556" w:rsidRDefault="002F1D1D" w:rsidP="00211A80">
      <w:pPr>
        <w:widowControl w:val="0"/>
        <w:ind w:left="465"/>
        <w:jc w:val="both"/>
        <w:rPr>
          <w:snapToGrid w:val="0"/>
        </w:rPr>
      </w:pPr>
      <w:r w:rsidRPr="00092A30">
        <w:t>Der Kredit ist mit dem jeweils vereinbarten Zinssatz zu verzinsen. Die Berechnung e</w:t>
      </w:r>
      <w:r w:rsidRPr="00092A30">
        <w:t>r</w:t>
      </w:r>
      <w:r w:rsidRPr="00092A30">
        <w:t>folgt nach der deutschen kaufmännischen Zinsmethode (30/360-Methode). Die Zinsza</w:t>
      </w:r>
      <w:r w:rsidRPr="00092A30">
        <w:t>h</w:t>
      </w:r>
      <w:r w:rsidRPr="00092A30">
        <w:t>lungen sind vierteljährlich nachträglich zum 31. März, 30. Juni, 30. September und 30. Dezember eines jeden Jahres fällig, es sei denn, im Kreditvertrag ist etwas anderes vereinbart</w:t>
      </w:r>
      <w:r w:rsidR="00B5583A" w:rsidRPr="00686556">
        <w:rPr>
          <w:snapToGrid w:val="0"/>
        </w:rPr>
        <w:t>.</w:t>
      </w:r>
    </w:p>
    <w:p w:rsidR="00B5583A" w:rsidRPr="00686556" w:rsidRDefault="00B5583A">
      <w:pPr>
        <w:widowControl w:val="0"/>
        <w:tabs>
          <w:tab w:val="left" w:pos="472"/>
          <w:tab w:val="left" w:pos="957"/>
          <w:tab w:val="right" w:pos="10213"/>
        </w:tabs>
        <w:jc w:val="both"/>
        <w:rPr>
          <w:snapToGrid w:val="0"/>
        </w:rPr>
      </w:pPr>
    </w:p>
    <w:p w:rsidR="00B5583A" w:rsidRPr="00250603" w:rsidRDefault="002F1D1D">
      <w:pPr>
        <w:widowControl w:val="0"/>
        <w:numPr>
          <w:ilvl w:val="0"/>
          <w:numId w:val="1"/>
        </w:num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Kosten und Aufwendungen</w:t>
      </w:r>
    </w:p>
    <w:p w:rsidR="00B5583A" w:rsidRPr="00250603" w:rsidRDefault="00B5583A">
      <w:pPr>
        <w:widowControl w:val="0"/>
        <w:tabs>
          <w:tab w:val="left" w:pos="466"/>
          <w:tab w:val="right" w:pos="6040"/>
        </w:tabs>
        <w:jc w:val="both"/>
        <w:rPr>
          <w:b/>
          <w:snapToGrid w:val="0"/>
          <w:u w:val="single"/>
        </w:rPr>
      </w:pPr>
    </w:p>
    <w:p w:rsidR="00B5583A" w:rsidRDefault="002F1D1D" w:rsidP="002F1D1D">
      <w:pPr>
        <w:widowControl w:val="0"/>
        <w:tabs>
          <w:tab w:val="left" w:pos="18"/>
          <w:tab w:val="left" w:pos="486"/>
          <w:tab w:val="left" w:pos="536"/>
        </w:tabs>
        <w:ind w:left="465"/>
        <w:jc w:val="both"/>
      </w:pPr>
      <w:r w:rsidRPr="00E75C50">
        <w:t xml:space="preserve">Die Kosten und Aufwendungen des unmittelbar refinanzierten Kreditinstituts sowie der Hausbank sind mit dem Zinssatz abgegolten. Ungeachtet der Regelung nach Satz 1 richtet sich ein möglicher Anspruch des unmittelbar refinanzierten Kreditinstituts oder der Hausbank auf Ersatz von Aufwendungen nach den gesetzlichen Vorschriften. Eine Verzichts- bzw. Nichtabnahmeentschädigung oder eine Vorfälligkeitsentschädigung darf nur berechnet werden, wenn die </w:t>
      </w:r>
      <w:r w:rsidR="0043617C">
        <w:t>IFB Hamburg</w:t>
      </w:r>
      <w:r w:rsidRPr="00E75C50">
        <w:t xml:space="preserve"> eine entsprechende Regelung getroffen hat. Sofern eine Berechnung möglich ist, wird diese von der Hausbank vorgenommen.</w:t>
      </w:r>
    </w:p>
    <w:p w:rsidR="002F1D1D" w:rsidRPr="00686556" w:rsidRDefault="002F1D1D">
      <w:pPr>
        <w:widowControl w:val="0"/>
        <w:tabs>
          <w:tab w:val="left" w:pos="18"/>
          <w:tab w:val="left" w:pos="486"/>
          <w:tab w:val="left" w:pos="536"/>
        </w:tabs>
        <w:jc w:val="both"/>
        <w:rPr>
          <w:snapToGrid w:val="0"/>
        </w:rPr>
      </w:pPr>
    </w:p>
    <w:p w:rsidR="00B5583A" w:rsidRPr="00250603" w:rsidRDefault="002F1D1D" w:rsidP="00B5583A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Rückzahlungen</w:t>
      </w:r>
    </w:p>
    <w:p w:rsidR="00B5583A" w:rsidRPr="00250603" w:rsidRDefault="00B5583A">
      <w:pPr>
        <w:widowControl w:val="0"/>
        <w:tabs>
          <w:tab w:val="right" w:pos="10165"/>
        </w:tabs>
        <w:jc w:val="both"/>
        <w:rPr>
          <w:snapToGrid w:val="0"/>
        </w:rPr>
      </w:pPr>
    </w:p>
    <w:p w:rsidR="002F1D1D" w:rsidRPr="00E75C50" w:rsidRDefault="002F1D1D" w:rsidP="002F1D1D">
      <w:pPr>
        <w:pStyle w:val="Listenabsatz"/>
        <w:numPr>
          <w:ilvl w:val="0"/>
          <w:numId w:val="21"/>
        </w:numPr>
        <w:jc w:val="both"/>
      </w:pPr>
      <w:r w:rsidRPr="00E75C50">
        <w:t xml:space="preserve">Die Tilgungsraten sind zu den in dem Kreditvertrag genannten Terminen fällig. </w:t>
      </w:r>
    </w:p>
    <w:p w:rsidR="002F1D1D" w:rsidRPr="00E75C50" w:rsidRDefault="002F1D1D" w:rsidP="002F1D1D">
      <w:pPr>
        <w:jc w:val="both"/>
      </w:pPr>
    </w:p>
    <w:p w:rsidR="002F1D1D" w:rsidRDefault="002F1D1D" w:rsidP="002F1D1D">
      <w:pPr>
        <w:pStyle w:val="Listenabsatz"/>
        <w:numPr>
          <w:ilvl w:val="0"/>
          <w:numId w:val="21"/>
        </w:numPr>
        <w:jc w:val="both"/>
      </w:pPr>
      <w:r w:rsidRPr="00E75C50">
        <w:t>Der Kredit kann gegen Zahlung einer Vorfälligkeitsentschädigung während der er</w:t>
      </w:r>
      <w:r w:rsidRPr="00E75C50">
        <w:t>s</w:t>
      </w:r>
      <w:r w:rsidRPr="00E75C50">
        <w:t>ten Zinsbindungsfrist jederzeit unter Einhaltung einer Ankündigungsfrist von 10 Bankarbeitstagen ganz oder teilweise vorzeitig an die Hausbank zurückgezahlt we</w:t>
      </w:r>
      <w:r w:rsidRPr="00E75C50">
        <w:t>r</w:t>
      </w:r>
      <w:r w:rsidRPr="00E75C50">
        <w:t>den. Gesetzliche Kündigungsrechte bleiben von den vorhergehenden Regelungen unberührt. Eine ggf. zu erhebende Vorfälligkeitsentschädigung darf von der Hau</w:t>
      </w:r>
      <w:r w:rsidRPr="00E75C50">
        <w:t>s</w:t>
      </w:r>
      <w:r w:rsidRPr="00E75C50">
        <w:t>bank innerhalb des rechtlich zulässigen Rahmens</w:t>
      </w:r>
      <w:r>
        <w:t xml:space="preserve"> </w:t>
      </w:r>
      <w:r w:rsidRPr="00E75C50">
        <w:t>berechnet werden.</w:t>
      </w:r>
    </w:p>
    <w:p w:rsidR="002F1D1D" w:rsidRDefault="002F1D1D" w:rsidP="002F1D1D">
      <w:pPr>
        <w:pStyle w:val="Listenabsatz"/>
      </w:pPr>
    </w:p>
    <w:p w:rsidR="002F1D1D" w:rsidRPr="006D2058" w:rsidRDefault="002F1D1D" w:rsidP="002F1D1D">
      <w:pPr>
        <w:pStyle w:val="Listenabsatz"/>
        <w:numPr>
          <w:ilvl w:val="0"/>
          <w:numId w:val="21"/>
        </w:numPr>
        <w:jc w:val="both"/>
      </w:pPr>
      <w:r w:rsidRPr="00E75C50">
        <w:lastRenderedPageBreak/>
        <w:t>Außerplanmäßige Teilrückzahlungen werden grundsätzlich auf die nach dem Ti</w:t>
      </w:r>
      <w:r w:rsidRPr="00E75C50">
        <w:t>l</w:t>
      </w:r>
      <w:r w:rsidRPr="00E75C50">
        <w:t>gungsplan zuletzt fälligen Tilgungsraten angerechnet, sofern mit dem Endkredi</w:t>
      </w:r>
      <w:r w:rsidRPr="00E75C50">
        <w:t>t</w:t>
      </w:r>
      <w:r w:rsidRPr="00E75C50">
        <w:t>nehmer nicht anders vereinbart.</w:t>
      </w:r>
    </w:p>
    <w:p w:rsidR="002F1D1D" w:rsidRPr="006D2058" w:rsidRDefault="002F1D1D" w:rsidP="002F1D1D">
      <w:pPr>
        <w:pStyle w:val="Textkrper-Einzug2"/>
        <w:ind w:left="0"/>
      </w:pPr>
    </w:p>
    <w:p w:rsidR="002F1D1D" w:rsidRPr="002F1D1D" w:rsidRDefault="002F1D1D" w:rsidP="002F1D1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2F1D1D">
        <w:rPr>
          <w:b/>
          <w:snapToGrid w:val="0"/>
          <w:u w:val="single"/>
        </w:rPr>
        <w:t>Verzug</w:t>
      </w:r>
    </w:p>
    <w:p w:rsidR="002F1D1D" w:rsidRPr="006D2058" w:rsidRDefault="002F1D1D" w:rsidP="002F1D1D">
      <w:pPr>
        <w:pStyle w:val="Textkrper3"/>
        <w:keepNext/>
        <w:keepLines/>
        <w:ind w:left="360"/>
      </w:pPr>
    </w:p>
    <w:p w:rsidR="002F1D1D" w:rsidRPr="006D2058" w:rsidRDefault="002F1D1D" w:rsidP="002F1D1D">
      <w:pPr>
        <w:ind w:left="465"/>
        <w:jc w:val="both"/>
      </w:pPr>
      <w:r w:rsidRPr="00E75C50">
        <w:t>Kommt der Endkreditnehmer mit seinen Zahlungsverpflichtungen in Verzug, ist die Hausbank berechtigt, Verzugszinsen gemäß den gesetzlichen Regelungen geltend zu machen.</w:t>
      </w:r>
    </w:p>
    <w:p w:rsidR="002F1D1D" w:rsidRPr="006D2058" w:rsidRDefault="002F1D1D" w:rsidP="002F1D1D">
      <w:pPr>
        <w:jc w:val="both"/>
      </w:pPr>
    </w:p>
    <w:p w:rsidR="002F1D1D" w:rsidRPr="002F1D1D" w:rsidRDefault="002F1D1D" w:rsidP="002F1D1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2F1D1D">
        <w:rPr>
          <w:b/>
          <w:snapToGrid w:val="0"/>
          <w:u w:val="single"/>
        </w:rPr>
        <w:t>Besicherung</w:t>
      </w:r>
    </w:p>
    <w:p w:rsidR="002F1D1D" w:rsidRPr="006D2058" w:rsidRDefault="002F1D1D" w:rsidP="002F1D1D">
      <w:pPr>
        <w:keepNext/>
        <w:jc w:val="both"/>
      </w:pPr>
    </w:p>
    <w:p w:rsidR="002F1D1D" w:rsidRPr="006D2058" w:rsidRDefault="002F1D1D" w:rsidP="002F1D1D">
      <w:pPr>
        <w:pStyle w:val="Listenabsatz"/>
        <w:numPr>
          <w:ilvl w:val="0"/>
          <w:numId w:val="22"/>
        </w:numPr>
        <w:jc w:val="both"/>
      </w:pPr>
      <w:r w:rsidRPr="00E75C50">
        <w:t xml:space="preserve">Die Hausbank tritt die aus der Gewährung des Kredits entstehenden Forderungen gegen den Endkreditnehmer bereits mit ihrer Entstehung an die </w:t>
      </w:r>
      <w:r w:rsidR="0043617C">
        <w:t>IFB Hamburg</w:t>
      </w:r>
      <w:r w:rsidRPr="00E75C50">
        <w:t xml:space="preserve"> ab. </w:t>
      </w:r>
      <w:r w:rsidRPr="001D29D9">
        <w:t xml:space="preserve">Nach der Übertragung kann der Endkreditnehmer Forderungen gegen die Hausbank nicht der </w:t>
      </w:r>
      <w:r w:rsidR="0043617C">
        <w:t>IFB Hamburg</w:t>
      </w:r>
      <w:r w:rsidRPr="001D29D9">
        <w:t xml:space="preserve"> gegenüber mit Verpflichtungen aus dem</w:t>
      </w:r>
      <w:r>
        <w:t xml:space="preserve"> Kredit </w:t>
      </w:r>
      <w:r w:rsidRPr="001D29D9">
        <w:t xml:space="preserve">aufrechnen. </w:t>
      </w:r>
      <w:r w:rsidRPr="00E75C50">
        <w:t xml:space="preserve">Die Hausbank ist solange zur Einziehung der an die </w:t>
      </w:r>
      <w:r w:rsidR="0043617C">
        <w:t>IFB Hamburg</w:t>
      </w:r>
      <w:r w:rsidRPr="00E75C50">
        <w:t xml:space="preserve"> abgetretenen Forderungen berechtigt, bis die </w:t>
      </w:r>
      <w:r w:rsidR="0043617C">
        <w:t>IFB Hamburg</w:t>
      </w:r>
      <w:r w:rsidRPr="00E75C50">
        <w:t xml:space="preserve"> den Widerruf de</w:t>
      </w:r>
      <w:r w:rsidR="00DF528E">
        <w:t>s</w:t>
      </w:r>
      <w:r w:rsidRPr="00E75C50">
        <w:t xml:space="preserve"> </w:t>
      </w:r>
      <w:r w:rsidR="00DF528E">
        <w:t>SEPA-Lastschriftmandats</w:t>
      </w:r>
      <w:r w:rsidRPr="00E75C50">
        <w:t xml:space="preserve"> gegenüber dem Endkreditnehmer erklärt. Die Hausbank ist fe</w:t>
      </w:r>
      <w:r w:rsidRPr="00E75C50">
        <w:t>r</w:t>
      </w:r>
      <w:r w:rsidRPr="00E75C50">
        <w:t xml:space="preserve">ner berechtigt, die für den Kredit bestellten Sicherheiten auf die </w:t>
      </w:r>
      <w:r w:rsidR="0043617C">
        <w:t>IFB Hamburg</w:t>
      </w:r>
      <w:r w:rsidRPr="00E75C50">
        <w:t xml:space="preserve"> zu übertragen. Auch nach der Sicherungsabtretung an die </w:t>
      </w:r>
      <w:r w:rsidR="0043617C">
        <w:t>IFB Hamburg</w:t>
      </w:r>
      <w:r w:rsidRPr="00E75C50">
        <w:t xml:space="preserve"> werden die b</w:t>
      </w:r>
      <w:r w:rsidRPr="00E75C50">
        <w:t>e</w:t>
      </w:r>
      <w:r w:rsidRPr="00E75C50">
        <w:t>treffenden Forderungen von dem zwischen der Hausbank und dem Endkreditne</w:t>
      </w:r>
      <w:r w:rsidRPr="00E75C50">
        <w:t>h</w:t>
      </w:r>
      <w:r w:rsidRPr="00E75C50">
        <w:t>mer vereinbarten Sicherungszweck erfasst. Sicherheiten, die der Hausbank für e</w:t>
      </w:r>
      <w:r w:rsidRPr="00E75C50">
        <w:t>i</w:t>
      </w:r>
      <w:r w:rsidRPr="00E75C50">
        <w:t xml:space="preserve">nen von der </w:t>
      </w:r>
      <w:r w:rsidR="0043617C">
        <w:t>IFB Hamburg</w:t>
      </w:r>
      <w:r w:rsidRPr="00E75C50">
        <w:t xml:space="preserve"> refinanzierten Kredit vom Endkredit</w:t>
      </w:r>
      <w:r>
        <w:t>nehmer gestellt wo</w:t>
      </w:r>
      <w:r>
        <w:t>r</w:t>
      </w:r>
      <w:r w:rsidRPr="00E75C50">
        <w:t xml:space="preserve">den sind oder künftig gestellt werden, dienen – soweit eine weite Zweckbestimmung rechtswirksam vereinbart wurde oder künftig vereinbart wird – der Absicherung aller an die </w:t>
      </w:r>
      <w:r w:rsidR="0043617C">
        <w:t>IFB Hamburg</w:t>
      </w:r>
      <w:r w:rsidRPr="00E75C50">
        <w:t xml:space="preserve"> abgetretenen oder in Zukunft abzutretenden</w:t>
      </w:r>
      <w:r>
        <w:t xml:space="preserve"> </w:t>
      </w:r>
      <w:r w:rsidRPr="000D06A2">
        <w:t>Kreditforderungen der Hausbank gegen den Endkreditnehmer. Dies gilt auch, wenn die Sicherheit von einem Dritten gestellt wird.</w:t>
      </w:r>
    </w:p>
    <w:p w:rsidR="002F1D1D" w:rsidRPr="006D2058" w:rsidRDefault="002F1D1D" w:rsidP="002F1D1D">
      <w:pPr>
        <w:jc w:val="both"/>
      </w:pPr>
    </w:p>
    <w:p w:rsidR="002F1D1D" w:rsidRDefault="002F1D1D" w:rsidP="002F1D1D">
      <w:pPr>
        <w:numPr>
          <w:ilvl w:val="0"/>
          <w:numId w:val="22"/>
        </w:numPr>
        <w:jc w:val="both"/>
      </w:pPr>
      <w:r w:rsidRPr="000D06A2">
        <w:t xml:space="preserve">Die für diesen Kredit vereinbarten Sicherheiten dürfen zur Absicherung anderer Hausbankkredite nicht vorrangig herangezogen werden. Andere Sicherheiten, die der Hausbank vom Endkreditnehmer oder einem Dritten für nicht von der </w:t>
      </w:r>
      <w:r w:rsidR="0043617C">
        <w:t>IFB Ha</w:t>
      </w:r>
      <w:r w:rsidR="0043617C">
        <w:t>m</w:t>
      </w:r>
      <w:r w:rsidR="0043617C">
        <w:t>burg</w:t>
      </w:r>
      <w:r w:rsidRPr="000D06A2">
        <w:t xml:space="preserve"> refinanzierte Kredite an den Endkreditnehmer gestellt worden sind oder künftig gestellt werden, dienen </w:t>
      </w:r>
      <w:r w:rsidR="00CA2A69">
        <w:t>–</w:t>
      </w:r>
      <w:r w:rsidR="00CA2A69" w:rsidRPr="000D06A2">
        <w:t xml:space="preserve"> </w:t>
      </w:r>
      <w:r w:rsidRPr="000D06A2">
        <w:t>soweit eine weite Zweckbestimmung rechtswirksam ve</w:t>
      </w:r>
      <w:r w:rsidRPr="000D06A2">
        <w:t>r</w:t>
      </w:r>
      <w:r w:rsidRPr="000D06A2">
        <w:t xml:space="preserve">einbart wurde oder künftig vereinbart wird – nachrangig zur Absicherung aller an die </w:t>
      </w:r>
      <w:r w:rsidR="0043617C">
        <w:t>IFB Hamburg</w:t>
      </w:r>
      <w:r w:rsidRPr="000D06A2">
        <w:t xml:space="preserve"> abgetretenen oder in Zukunft abzutretenden Kreditforderungen der Hausbank gegen den Endkreditnehmer.</w:t>
      </w:r>
    </w:p>
    <w:p w:rsidR="002F1D1D" w:rsidRPr="006D2058" w:rsidRDefault="002F1D1D" w:rsidP="002F1D1D">
      <w:pPr>
        <w:jc w:val="both"/>
      </w:pPr>
    </w:p>
    <w:p w:rsidR="002F1D1D" w:rsidRPr="002F1D1D" w:rsidRDefault="002F1D1D" w:rsidP="002F1D1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2F1D1D">
        <w:rPr>
          <w:b/>
          <w:snapToGrid w:val="0"/>
          <w:u w:val="single"/>
        </w:rPr>
        <w:t>Prüfungsrechte</w:t>
      </w:r>
    </w:p>
    <w:p w:rsidR="002F1D1D" w:rsidRPr="006D2058" w:rsidRDefault="002F1D1D" w:rsidP="002F1D1D">
      <w:pPr>
        <w:jc w:val="both"/>
      </w:pPr>
    </w:p>
    <w:p w:rsidR="002F1D1D" w:rsidRPr="000D06A2" w:rsidRDefault="002F1D1D" w:rsidP="002F1D1D">
      <w:pPr>
        <w:ind w:left="465"/>
        <w:jc w:val="both"/>
      </w:pPr>
      <w:r w:rsidRPr="000D06A2">
        <w:t xml:space="preserve">Die </w:t>
      </w:r>
      <w:r w:rsidR="0043617C">
        <w:t>IFB Hamburg</w:t>
      </w:r>
      <w:r w:rsidRPr="000D06A2">
        <w:t xml:space="preserve"> und/oder KfW sind berechtigt, beim Endkreditnehmer Einblick in die Geschäftsunterlagen und Bücher zu nehmen, sich über seine Vermögenslage zu info</w:t>
      </w:r>
      <w:r w:rsidRPr="000D06A2">
        <w:t>r</w:t>
      </w:r>
      <w:r w:rsidRPr="000D06A2">
        <w:t xml:space="preserve">mieren und die Verwendung der Kreditmittel gemäß Ziffer 1 Abs. 1 vor Ort zu prüfen. Die </w:t>
      </w:r>
      <w:r w:rsidR="0043617C">
        <w:t>IFB Hamburg</w:t>
      </w:r>
      <w:r>
        <w:t xml:space="preserve"> </w:t>
      </w:r>
      <w:r w:rsidRPr="000D06A2">
        <w:t>und/oder die KfW können diese Prüfungen durch einen von ihr beau</w:t>
      </w:r>
      <w:r w:rsidRPr="000D06A2">
        <w:t>f</w:t>
      </w:r>
      <w:r w:rsidRPr="000D06A2">
        <w:t>tragten Dritten vornehmen lassen. Die Kosten dieser Prüfungen trägt der Endkredi</w:t>
      </w:r>
      <w:r w:rsidRPr="000D06A2">
        <w:t>t</w:t>
      </w:r>
      <w:r w:rsidRPr="000D06A2">
        <w:t xml:space="preserve">nehmer, sofern nicht anders vereinbart. Die </w:t>
      </w:r>
      <w:r w:rsidR="0043617C">
        <w:t>IFB Hamburg</w:t>
      </w:r>
      <w:r w:rsidRPr="000D06A2">
        <w:t xml:space="preserve"> und/oder die KfW werden s</w:t>
      </w:r>
      <w:r w:rsidRPr="000D06A2">
        <w:t>i</w:t>
      </w:r>
      <w:r w:rsidRPr="000D06A2">
        <w:t>cherstellen, dass auch der von ihr beauftragte Dritte die Informationen vertraulich b</w:t>
      </w:r>
      <w:r w:rsidRPr="000D06A2">
        <w:t>e</w:t>
      </w:r>
      <w:r w:rsidRPr="000D06A2">
        <w:t>handelt.</w:t>
      </w:r>
    </w:p>
    <w:p w:rsidR="002F1D1D" w:rsidRPr="006D2058" w:rsidRDefault="002F1D1D" w:rsidP="002F1D1D">
      <w:pPr>
        <w:jc w:val="both"/>
      </w:pPr>
    </w:p>
    <w:p w:rsidR="002F1D1D" w:rsidRPr="000D06A2" w:rsidRDefault="002F1D1D" w:rsidP="00211A80">
      <w:pPr>
        <w:ind w:left="465"/>
        <w:jc w:val="both"/>
      </w:pPr>
      <w:r w:rsidRPr="006D2058">
        <w:t>Die vorgenannten Rechte stehen auch der Freien und Hansestadt Hamburg, der Bu</w:t>
      </w:r>
      <w:r w:rsidRPr="006D2058">
        <w:t>n</w:t>
      </w:r>
      <w:r w:rsidRPr="006D2058">
        <w:t>desrepublik Deutschland und den Rechnungshöfen zu.</w:t>
      </w:r>
    </w:p>
    <w:p w:rsidR="002F1D1D" w:rsidRPr="006D2058" w:rsidRDefault="002F1D1D" w:rsidP="002F1D1D">
      <w:pPr>
        <w:jc w:val="both"/>
      </w:pPr>
    </w:p>
    <w:p w:rsidR="002F1D1D" w:rsidRPr="002F1D1D" w:rsidRDefault="002F1D1D" w:rsidP="005D656A">
      <w:pPr>
        <w:keepNext/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2F1D1D">
        <w:rPr>
          <w:b/>
          <w:snapToGrid w:val="0"/>
          <w:u w:val="single"/>
        </w:rPr>
        <w:t>Informationspflichten</w:t>
      </w:r>
    </w:p>
    <w:p w:rsidR="002F1D1D" w:rsidRPr="006D2058" w:rsidRDefault="002F1D1D" w:rsidP="005D656A">
      <w:pPr>
        <w:keepNext/>
        <w:jc w:val="both"/>
      </w:pPr>
    </w:p>
    <w:p w:rsidR="002F1D1D" w:rsidRPr="006D2058" w:rsidRDefault="002F1D1D" w:rsidP="005D656A">
      <w:pPr>
        <w:keepNext/>
        <w:ind w:left="465"/>
        <w:jc w:val="both"/>
      </w:pPr>
      <w:r w:rsidRPr="000D06A2">
        <w:t>Der Endkreditnehmer ist verpflichtet, die Hausbank über alle wesentlichen Vorkommni</w:t>
      </w:r>
      <w:r w:rsidRPr="000D06A2">
        <w:t>s</w:t>
      </w:r>
      <w:r w:rsidRPr="000D06A2">
        <w:t>se, die den Förderzweck beeinflussen oder die ordnungsgemäße Bedienung des Kr</w:t>
      </w:r>
      <w:r w:rsidRPr="000D06A2">
        <w:t>e</w:t>
      </w:r>
      <w:r w:rsidRPr="000D06A2">
        <w:t>dits gefährden können, zu unterrichten. Die Hausbank ist zur Weitergabe der Informat</w:t>
      </w:r>
      <w:r w:rsidRPr="000D06A2">
        <w:t>i</w:t>
      </w:r>
      <w:r w:rsidRPr="000D06A2">
        <w:t xml:space="preserve">onen an die </w:t>
      </w:r>
      <w:r w:rsidR="0043617C">
        <w:t>IFB Hamburg</w:t>
      </w:r>
      <w:r w:rsidRPr="000D06A2">
        <w:t xml:space="preserve"> und/oder die KfW berechtigt.</w:t>
      </w:r>
    </w:p>
    <w:p w:rsidR="002F1D1D" w:rsidRPr="006D2058" w:rsidRDefault="002F1D1D" w:rsidP="002F1D1D">
      <w:pPr>
        <w:widowControl w:val="0"/>
        <w:jc w:val="both"/>
      </w:pPr>
    </w:p>
    <w:p w:rsidR="002F1D1D" w:rsidRPr="006D2058" w:rsidRDefault="002F1D1D" w:rsidP="002F1D1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Vorlage der Jahresabschlüsse</w:t>
      </w:r>
    </w:p>
    <w:p w:rsidR="002F1D1D" w:rsidRPr="006D2058" w:rsidRDefault="002F1D1D" w:rsidP="002F1D1D">
      <w:pPr>
        <w:widowControl w:val="0"/>
        <w:tabs>
          <w:tab w:val="left" w:pos="461"/>
          <w:tab w:val="right" w:pos="1649"/>
        </w:tabs>
        <w:jc w:val="both"/>
        <w:rPr>
          <w:snapToGrid w:val="0"/>
        </w:rPr>
      </w:pPr>
    </w:p>
    <w:p w:rsidR="002F1D1D" w:rsidRPr="006D2058" w:rsidRDefault="002F1D1D" w:rsidP="002F1D1D">
      <w:pPr>
        <w:widowControl w:val="0"/>
        <w:tabs>
          <w:tab w:val="left" w:pos="426"/>
        </w:tabs>
        <w:ind w:left="465"/>
        <w:jc w:val="both"/>
        <w:rPr>
          <w:snapToGrid w:val="0"/>
        </w:rPr>
      </w:pPr>
      <w:r w:rsidRPr="000D06A2">
        <w:rPr>
          <w:snapToGrid w:val="0"/>
        </w:rPr>
        <w:t>Sofern nicht anders vereinbart, ist der Endkreditnehmer verpflichtet, seine Jahresa</w:t>
      </w:r>
      <w:r w:rsidRPr="000D06A2">
        <w:rPr>
          <w:snapToGrid w:val="0"/>
        </w:rPr>
        <w:t>b</w:t>
      </w:r>
      <w:r w:rsidRPr="000D06A2">
        <w:rPr>
          <w:snapToGrid w:val="0"/>
        </w:rPr>
        <w:t xml:space="preserve">schlüsse nebst den erforderlichen Erläuterungen nur auf Verlangen der Hausbank, </w:t>
      </w:r>
      <w:r w:rsidR="0043617C">
        <w:rPr>
          <w:snapToGrid w:val="0"/>
        </w:rPr>
        <w:t>IFB Hamburg</w:t>
      </w:r>
      <w:r w:rsidRPr="000D06A2">
        <w:rPr>
          <w:snapToGrid w:val="0"/>
        </w:rPr>
        <w:t xml:space="preserve"> oder KfW einzureichen. Verzögert sich die Fertigstellung eines Jahresa</w:t>
      </w:r>
      <w:r w:rsidRPr="000D06A2">
        <w:rPr>
          <w:snapToGrid w:val="0"/>
        </w:rPr>
        <w:t>b</w:t>
      </w:r>
      <w:r w:rsidRPr="000D06A2">
        <w:rPr>
          <w:snapToGrid w:val="0"/>
        </w:rPr>
        <w:t>schlusses, hat der Endkreditnehmer zunächst die vorläufigen Zahlen mitzuteilen.</w:t>
      </w:r>
      <w:r w:rsidRPr="006D2058">
        <w:rPr>
          <w:snapToGrid w:val="0"/>
        </w:rPr>
        <w:t xml:space="preserve"> </w:t>
      </w:r>
    </w:p>
    <w:p w:rsidR="002F1D1D" w:rsidRPr="006D2058" w:rsidRDefault="002F1D1D" w:rsidP="002F1D1D">
      <w:pPr>
        <w:widowControl w:val="0"/>
        <w:jc w:val="both"/>
        <w:rPr>
          <w:snapToGrid w:val="0"/>
        </w:rPr>
      </w:pPr>
    </w:p>
    <w:p w:rsidR="002F1D1D" w:rsidRPr="002F1D1D" w:rsidRDefault="002F1D1D" w:rsidP="002F1D1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2F1D1D">
        <w:rPr>
          <w:b/>
          <w:snapToGrid w:val="0"/>
          <w:u w:val="single"/>
        </w:rPr>
        <w:t>Kündigung aus wichtigem Grund</w:t>
      </w:r>
    </w:p>
    <w:p w:rsidR="002F1D1D" w:rsidRPr="006D2058" w:rsidRDefault="002F1D1D" w:rsidP="002F1D1D">
      <w:pPr>
        <w:jc w:val="both"/>
      </w:pPr>
    </w:p>
    <w:p w:rsidR="002F1D1D" w:rsidRPr="000D06A2" w:rsidRDefault="002F1D1D" w:rsidP="002F1D1D">
      <w:pPr>
        <w:pStyle w:val="Textkrper-Zeileneinzug"/>
        <w:numPr>
          <w:ilvl w:val="0"/>
          <w:numId w:val="23"/>
        </w:numPr>
      </w:pPr>
      <w:r w:rsidRPr="000D06A2">
        <w:t>Die Hausbank ist berechtigt, den Kreditvertrag jederzeit im Rahmen der §§ 314, 490 Absatz 1 BGB aus wichtigem Grund ohne Einhaltung einer Kündigungsfrist insg</w:t>
      </w:r>
      <w:r w:rsidRPr="000D06A2">
        <w:t>e</w:t>
      </w:r>
      <w:r w:rsidRPr="000D06A2">
        <w:t>samt oder in Höhe eines Teilbetrages zur sofortigen Rückzahlung zu kündigen, in</w:t>
      </w:r>
      <w:r w:rsidRPr="000D06A2">
        <w:t>s</w:t>
      </w:r>
      <w:r w:rsidRPr="000D06A2">
        <w:t>besondere wenn aufgrund der nachfolgend beispielhaft aufgeführten Umstände die Einhaltung der Zahlungsverpflichtungen des Kunden oder die Durchsetzbarkeit der Ansprüche der Hausbank – auch unter Verwertung etwaiger Sicherheiten – gefäh</w:t>
      </w:r>
      <w:r w:rsidRPr="000D06A2">
        <w:t>r</w:t>
      </w:r>
      <w:r w:rsidRPr="000D06A2">
        <w:t>det wird</w:t>
      </w:r>
      <w:r>
        <w:t>:</w:t>
      </w:r>
    </w:p>
    <w:p w:rsidR="002F1D1D" w:rsidRDefault="002F1D1D" w:rsidP="002F1D1D">
      <w:pPr>
        <w:pStyle w:val="Textkrper-Zeileneinzug"/>
      </w:pPr>
    </w:p>
    <w:p w:rsidR="002F1D1D" w:rsidRDefault="002F1D1D" w:rsidP="002F1D1D">
      <w:pPr>
        <w:pStyle w:val="Textkrper-Zeileneinzug"/>
        <w:numPr>
          <w:ilvl w:val="0"/>
          <w:numId w:val="24"/>
        </w:numPr>
      </w:pPr>
      <w:r>
        <w:t xml:space="preserve">wenn </w:t>
      </w:r>
      <w:r w:rsidRPr="0012291B">
        <w:t>der Kredit und die Zinsverbilligung zu Unrecht erlangt, nicht ihrem Zweck entsprechend verwendet worden sind oder der Endkreditnehmer ungeachtet e</w:t>
      </w:r>
      <w:r w:rsidRPr="0012291B">
        <w:t>i</w:t>
      </w:r>
      <w:r w:rsidRPr="0012291B">
        <w:t>ner Fristsetzung durch die Hausbank eine Prüfung der zweckentsprechenden Mittelverwendung nicht ermöglicht hat,</w:t>
      </w:r>
    </w:p>
    <w:p w:rsidR="002F1D1D" w:rsidRDefault="002F1D1D" w:rsidP="002F1D1D">
      <w:pPr>
        <w:pStyle w:val="Textkrper-Zeileneinzug"/>
        <w:ind w:left="1080"/>
      </w:pPr>
    </w:p>
    <w:p w:rsidR="002F1D1D" w:rsidRDefault="002F1D1D" w:rsidP="002F1D1D">
      <w:pPr>
        <w:pStyle w:val="Textkrper-Zeileneinzug"/>
        <w:numPr>
          <w:ilvl w:val="0"/>
          <w:numId w:val="24"/>
        </w:numPr>
      </w:pPr>
      <w:r>
        <w:t xml:space="preserve">wenn </w:t>
      </w:r>
      <w:r w:rsidRPr="0012291B">
        <w:t>die Voraussetzungen für seine Gewährung sich geändert haben oder nachträglich entfallen si</w:t>
      </w:r>
      <w:r>
        <w:t>nd (z. B. Veräußerung des mitfi</w:t>
      </w:r>
      <w:r w:rsidRPr="0012291B">
        <w:t>nanzierten Betriebes oder Betriebsteiles, Änderung der Eigentums- oder Beteiligungsverhältnisse),</w:t>
      </w:r>
    </w:p>
    <w:p w:rsidR="002F1D1D" w:rsidRDefault="002F1D1D" w:rsidP="002F1D1D">
      <w:pPr>
        <w:pStyle w:val="Listenabsatz"/>
      </w:pPr>
    </w:p>
    <w:p w:rsidR="002F1D1D" w:rsidRDefault="002F1D1D" w:rsidP="002F1D1D">
      <w:pPr>
        <w:pStyle w:val="Textkrper-Zeileneinzug"/>
        <w:numPr>
          <w:ilvl w:val="0"/>
          <w:numId w:val="24"/>
        </w:numPr>
      </w:pPr>
      <w:r>
        <w:t xml:space="preserve">wenn </w:t>
      </w:r>
      <w:r w:rsidRPr="0012291B">
        <w:t>der Endkreditnehmer unrichtige Angaben über seine Vermögenslage g</w:t>
      </w:r>
      <w:r w:rsidRPr="0012291B">
        <w:t>e</w:t>
      </w:r>
      <w:r w:rsidRPr="0012291B">
        <w:t>macht hat,</w:t>
      </w:r>
    </w:p>
    <w:p w:rsidR="002F1D1D" w:rsidRDefault="002F1D1D" w:rsidP="002F1D1D">
      <w:pPr>
        <w:pStyle w:val="Listenabsatz"/>
      </w:pPr>
    </w:p>
    <w:p w:rsidR="002F1D1D" w:rsidRDefault="002F1D1D" w:rsidP="002F1D1D">
      <w:pPr>
        <w:pStyle w:val="Textkrper-Zeileneinzug"/>
        <w:numPr>
          <w:ilvl w:val="0"/>
          <w:numId w:val="24"/>
        </w:numPr>
      </w:pPr>
      <w:r>
        <w:t xml:space="preserve">wenn </w:t>
      </w:r>
      <w:r w:rsidRPr="0012291B">
        <w:t>der Endkreditnehmer eine mit dem Kreditvertrag übernommene Verpflic</w:t>
      </w:r>
      <w:r w:rsidRPr="0012291B">
        <w:t>h</w:t>
      </w:r>
      <w:r w:rsidRPr="0012291B">
        <w:t>tung verletzt</w:t>
      </w:r>
      <w:r>
        <w:t xml:space="preserve"> oder </w:t>
      </w:r>
      <w:r w:rsidRPr="00ED120E">
        <w:t>auch nach angemessener Fristsetzung zur Abhilfe nicht erfüllt</w:t>
      </w:r>
      <w:r w:rsidRPr="0012291B">
        <w:t>,</w:t>
      </w:r>
    </w:p>
    <w:p w:rsidR="002F1D1D" w:rsidRDefault="002F1D1D" w:rsidP="002F1D1D">
      <w:pPr>
        <w:pStyle w:val="Listenabsatz"/>
      </w:pPr>
    </w:p>
    <w:p w:rsidR="002F1D1D" w:rsidRDefault="002F1D1D" w:rsidP="002F1D1D">
      <w:pPr>
        <w:pStyle w:val="Textkrper-Zeileneinzug"/>
        <w:numPr>
          <w:ilvl w:val="0"/>
          <w:numId w:val="24"/>
        </w:numPr>
      </w:pPr>
      <w:r>
        <w:t xml:space="preserve">wenn </w:t>
      </w:r>
      <w:r w:rsidRPr="0012291B">
        <w:t>eine wesentliche Verschlechterung der Vermögenslage des Endkredi</w:t>
      </w:r>
      <w:r w:rsidRPr="0012291B">
        <w:t>t</w:t>
      </w:r>
      <w:r w:rsidRPr="0012291B">
        <w:t>nehmers oder der Werthaltigkeit einer gestellten Sicherheit eintritt oder einzutr</w:t>
      </w:r>
      <w:r w:rsidRPr="0012291B">
        <w:t>e</w:t>
      </w:r>
      <w:r w:rsidRPr="0012291B">
        <w:t>ten droht und dadurch die Rückerstattung des Kredites, auch unter Verwertung der Sicher</w:t>
      </w:r>
      <w:r>
        <w:t>heiten, ge</w:t>
      </w:r>
      <w:r w:rsidRPr="0012291B">
        <w:t>fährdet wird,</w:t>
      </w:r>
    </w:p>
    <w:p w:rsidR="002F1D1D" w:rsidRDefault="002F1D1D" w:rsidP="002F1D1D">
      <w:pPr>
        <w:pStyle w:val="Listenabsatz"/>
      </w:pPr>
    </w:p>
    <w:p w:rsidR="002F1D1D" w:rsidRDefault="002F1D1D" w:rsidP="002F1D1D">
      <w:pPr>
        <w:pStyle w:val="Textkrper-Zeileneinzug"/>
        <w:numPr>
          <w:ilvl w:val="0"/>
          <w:numId w:val="24"/>
        </w:numPr>
      </w:pPr>
      <w:r>
        <w:t>wenn der Umfang der im Investitionsplan veranschlagten Gesamtausgaben und Umfang der förderfähigen Kosten sich ermäßigt oder der Anteil der öffentlichen Finanzierungsmittel sich erhöht,</w:t>
      </w:r>
    </w:p>
    <w:p w:rsidR="002F1D1D" w:rsidRDefault="002F1D1D" w:rsidP="002F1D1D">
      <w:pPr>
        <w:pStyle w:val="Textkrper-Zeileneinzug"/>
      </w:pPr>
    </w:p>
    <w:p w:rsidR="002F1D1D" w:rsidRPr="00ED120E" w:rsidRDefault="002F1D1D" w:rsidP="002F1D1D">
      <w:pPr>
        <w:pStyle w:val="Textkrper-Zeileneinzug"/>
        <w:numPr>
          <w:ilvl w:val="0"/>
          <w:numId w:val="24"/>
        </w:numPr>
      </w:pPr>
      <w:r w:rsidRPr="00ED120E">
        <w:t>wenn über das Vermögen des Endkreditnehmers die Eröffnung eines Verfahrens nach der Insolvenzordnung (InsO) beantragt bzw. ein solches Verfahren eröffnet oder die Eröffnung mangels Masse abgelehnt worden ist,</w:t>
      </w:r>
    </w:p>
    <w:p w:rsidR="002F1D1D" w:rsidRDefault="002F1D1D" w:rsidP="002F1D1D">
      <w:pPr>
        <w:pStyle w:val="Textkrper-Zeileneinzug"/>
      </w:pPr>
    </w:p>
    <w:p w:rsidR="002F1D1D" w:rsidRPr="00E750B8" w:rsidRDefault="002F1D1D" w:rsidP="002F1D1D">
      <w:pPr>
        <w:pStyle w:val="Textkrper-Zeileneinzug"/>
        <w:numPr>
          <w:ilvl w:val="0"/>
          <w:numId w:val="24"/>
        </w:numPr>
      </w:pPr>
      <w:r>
        <w:t xml:space="preserve">wenn </w:t>
      </w:r>
      <w:r w:rsidRPr="00ED120E">
        <w:t>eine außergerichtliche Einigung zur Schuldenbereinigung im Sinne von § 305 Abs. 1 Satz 1 InsO betrieben</w:t>
      </w:r>
      <w:r>
        <w:t xml:space="preserve"> </w:t>
      </w:r>
      <w:r w:rsidRPr="00ED120E">
        <w:t>wird, der Endkreditnehmer die Zahlungen ei</w:t>
      </w:r>
      <w:r w:rsidRPr="00ED120E">
        <w:t>n</w:t>
      </w:r>
      <w:r w:rsidRPr="00ED120E">
        <w:t>stellt oder sonstige Zwangsvollstreckungsmaßnahmen gegen ihn eingeleitet werden,</w:t>
      </w:r>
    </w:p>
    <w:p w:rsidR="002F1D1D" w:rsidRDefault="002F1D1D" w:rsidP="002F1D1D">
      <w:pPr>
        <w:pStyle w:val="Textkrper-Zeileneinzug"/>
      </w:pPr>
    </w:p>
    <w:p w:rsidR="002F1D1D" w:rsidRPr="00ED120E" w:rsidRDefault="002F1D1D" w:rsidP="002F1D1D">
      <w:pPr>
        <w:pStyle w:val="Textkrper-Zeileneinzug"/>
        <w:numPr>
          <w:ilvl w:val="0"/>
          <w:numId w:val="24"/>
        </w:numPr>
      </w:pPr>
      <w:r w:rsidRPr="00ED120E">
        <w:t>wenn der Endkreditnehmer mit seinen Leistungen länger als einen Monat im Rückstand ist und eine zur Abhilfe bestimmte Fristsetzung erfolglos verstrichen ist,</w:t>
      </w:r>
    </w:p>
    <w:p w:rsidR="002F1D1D" w:rsidRDefault="002F1D1D" w:rsidP="002F1D1D">
      <w:pPr>
        <w:pStyle w:val="Textkrper-Zeileneinzug"/>
      </w:pPr>
    </w:p>
    <w:p w:rsidR="002F1D1D" w:rsidRPr="00ED120E" w:rsidRDefault="002F1D1D" w:rsidP="002F1D1D">
      <w:pPr>
        <w:pStyle w:val="Textkrper-Zeileneinzug"/>
        <w:numPr>
          <w:ilvl w:val="0"/>
          <w:numId w:val="24"/>
        </w:numPr>
      </w:pPr>
      <w:r w:rsidRPr="00ED120E">
        <w:t>wenn gegen die Bestimmungen der Kre</w:t>
      </w:r>
      <w:r>
        <w:t>ditzusage oder die zugrunde lie</w:t>
      </w:r>
      <w:r w:rsidRPr="00ED120E">
        <w:t>genden rechtlichen Grundlagen, insbesondere die Allgemeinen Be</w:t>
      </w:r>
      <w:r w:rsidR="00CA2A69">
        <w:t>st</w:t>
      </w:r>
      <w:r w:rsidRPr="00ED120E">
        <w:t>i</w:t>
      </w:r>
      <w:r w:rsidR="00D25B75">
        <w:t>mm</w:t>
      </w:r>
      <w:r w:rsidRPr="00ED120E">
        <w:t>ungen, verst</w:t>
      </w:r>
      <w:r w:rsidRPr="00ED120E">
        <w:t>o</w:t>
      </w:r>
      <w:r w:rsidRPr="00ED120E">
        <w:t>ßen wird oder einer der in dem Kreditvertrag gena</w:t>
      </w:r>
      <w:r>
        <w:t>nnten Kündigungsgründe ei</w:t>
      </w:r>
      <w:r>
        <w:t>n</w:t>
      </w:r>
      <w:r>
        <w:t>tritt,</w:t>
      </w:r>
    </w:p>
    <w:p w:rsidR="002F1D1D" w:rsidRPr="00ED120E" w:rsidRDefault="002F1D1D" w:rsidP="002F1D1D">
      <w:pPr>
        <w:pStyle w:val="Textkrper-Zeileneinzug"/>
        <w:ind w:left="786"/>
      </w:pPr>
    </w:p>
    <w:p w:rsidR="002F1D1D" w:rsidRPr="00ED120E" w:rsidRDefault="002F1D1D" w:rsidP="002F1D1D">
      <w:pPr>
        <w:pStyle w:val="Textkrper-Zeileneinzug"/>
        <w:numPr>
          <w:ilvl w:val="0"/>
          <w:numId w:val="24"/>
        </w:numPr>
      </w:pPr>
      <w:r w:rsidRPr="00ED120E">
        <w:t xml:space="preserve">wenn unrichtige Angaben gemacht </w:t>
      </w:r>
      <w:r>
        <w:t>oder Tatsachen verschwiegen wur</w:t>
      </w:r>
      <w:r w:rsidRPr="00ED120E">
        <w:t>den, die für die Beurteilung der Förderungswürdigkeit des Vorhabens von Bedeutung w</w:t>
      </w:r>
      <w:r w:rsidRPr="00ED120E">
        <w:t>a</w:t>
      </w:r>
      <w:r w:rsidRPr="00ED120E">
        <w:t xml:space="preserve">ren, oder die </w:t>
      </w:r>
      <w:r w:rsidR="0043617C">
        <w:t>IFB Hamburg</w:t>
      </w:r>
      <w:r w:rsidRPr="00ED120E">
        <w:t xml:space="preserve"> von Tatsachen Kenntnis erhält, die eine andere Beu</w:t>
      </w:r>
      <w:r w:rsidRPr="00ED120E">
        <w:t>r</w:t>
      </w:r>
      <w:r w:rsidRPr="00ED120E">
        <w:t>teilung der Förderungswürdigkeit des Vorhabens oder der Bewilligung bzw. B</w:t>
      </w:r>
      <w:r w:rsidRPr="00ED120E">
        <w:t>e</w:t>
      </w:r>
      <w:r w:rsidRPr="00ED120E">
        <w:t>lassung des Kredits nach sich gezogen hätte</w:t>
      </w:r>
      <w:r>
        <w:t>n bzw. nach sich ziehen würden.</w:t>
      </w:r>
    </w:p>
    <w:p w:rsidR="002F1D1D" w:rsidRDefault="002F1D1D" w:rsidP="002F1D1D">
      <w:pPr>
        <w:pStyle w:val="Textkrper-Zeileneinzug"/>
        <w:ind w:left="0"/>
      </w:pPr>
    </w:p>
    <w:p w:rsidR="002F1D1D" w:rsidRDefault="002F1D1D" w:rsidP="0060038D">
      <w:pPr>
        <w:pStyle w:val="Textkrper-Zeileneinzug"/>
        <w:ind w:left="825" w:firstLine="0"/>
      </w:pPr>
      <w:r>
        <w:t>Besteht der wichtige Grund in der Verletzung einer Vertragspflicht, ist die Kündigung erst nach erfolglosem Ablauf einer zur Abhilfe bestimmten Frist oder nach erfolgl</w:t>
      </w:r>
      <w:r>
        <w:t>o</w:t>
      </w:r>
      <w:r>
        <w:t>ser Abmahnung zulässig, sofern nicht einer der in § 323 Abs. 2 BGB genannten Gründe vorliegt.</w:t>
      </w:r>
    </w:p>
    <w:p w:rsidR="002F1D1D" w:rsidRDefault="002F1D1D" w:rsidP="002F1D1D">
      <w:pPr>
        <w:pStyle w:val="Textkrper-Zeileneinzug"/>
        <w:ind w:left="708"/>
      </w:pPr>
    </w:p>
    <w:p w:rsidR="002F1D1D" w:rsidRDefault="002F1D1D" w:rsidP="002F1D1D">
      <w:pPr>
        <w:pStyle w:val="Textkrper-Zeileneinzug"/>
        <w:numPr>
          <w:ilvl w:val="0"/>
          <w:numId w:val="23"/>
        </w:numPr>
      </w:pPr>
      <w:r w:rsidRPr="0012291B">
        <w:t>Im Fall einer Teilkündigung (Kürzung) wird der zurückgezahlte Betrag grundsätzlich mit den noch ausstehenden Tilgungsraten (proportional auf die Restlaufzeit des Kredits) verrechnet, sofern mit dem Endkreditnehmer nicht anders vereinbart.</w:t>
      </w:r>
    </w:p>
    <w:p w:rsidR="002F1D1D" w:rsidRDefault="002F1D1D" w:rsidP="002F1D1D">
      <w:pPr>
        <w:pStyle w:val="Textkrper-Zeileneinzug"/>
      </w:pPr>
    </w:p>
    <w:p w:rsidR="002F1D1D" w:rsidRPr="0060038D" w:rsidRDefault="002F1D1D" w:rsidP="0060038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60038D">
        <w:rPr>
          <w:b/>
          <w:snapToGrid w:val="0"/>
          <w:u w:val="single"/>
        </w:rPr>
        <w:t>Auskunftserteilung</w:t>
      </w:r>
    </w:p>
    <w:p w:rsidR="002F1D1D" w:rsidRPr="006D2058" w:rsidRDefault="002F1D1D" w:rsidP="002F1D1D">
      <w:pPr>
        <w:jc w:val="both"/>
      </w:pPr>
    </w:p>
    <w:p w:rsidR="002F1D1D" w:rsidRPr="006D2058" w:rsidRDefault="002F1D1D" w:rsidP="0060038D">
      <w:pPr>
        <w:ind w:left="465"/>
        <w:jc w:val="both"/>
      </w:pPr>
      <w:r w:rsidRPr="0012291B">
        <w:t xml:space="preserve">Die Hausbank ist berechtigt, der </w:t>
      </w:r>
      <w:r w:rsidR="0043617C">
        <w:t>IFB Hamburg</w:t>
      </w:r>
      <w:r w:rsidRPr="0012291B">
        <w:t xml:space="preserve"> oder einem von der </w:t>
      </w:r>
      <w:r w:rsidR="0043617C">
        <w:t>IFB Hamburg</w:t>
      </w:r>
      <w:r w:rsidRPr="0012291B">
        <w:t xml:space="preserve"> beau</w:t>
      </w:r>
      <w:r w:rsidRPr="0012291B">
        <w:t>f</w:t>
      </w:r>
      <w:r w:rsidRPr="0012291B">
        <w:t>tragten Dritten uneingeschränkt Auskunft zu erteilen, Einsicht in die Unterlagen zu g</w:t>
      </w:r>
      <w:r w:rsidRPr="0012291B">
        <w:t>e</w:t>
      </w:r>
      <w:r w:rsidRPr="0012291B">
        <w:t>währen und zu Dokumentationszwecken Kopien der Unterlagen zur Verfügung zu ste</w:t>
      </w:r>
      <w:r w:rsidRPr="0012291B">
        <w:t>l</w:t>
      </w:r>
      <w:r w:rsidRPr="0012291B">
        <w:t>len. Die Bestimmungen dieses Absatzes gelten auch bei elektronischer Aktenführung.</w:t>
      </w:r>
      <w:r w:rsidRPr="006D2058">
        <w:t xml:space="preserve"> </w:t>
      </w:r>
    </w:p>
    <w:p w:rsidR="002F1D1D" w:rsidRDefault="002F1D1D" w:rsidP="002F1D1D">
      <w:pPr>
        <w:jc w:val="both"/>
      </w:pPr>
    </w:p>
    <w:p w:rsidR="002F1D1D" w:rsidRPr="0060038D" w:rsidRDefault="002F1D1D" w:rsidP="0060038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60038D">
        <w:rPr>
          <w:b/>
          <w:snapToGrid w:val="0"/>
          <w:u w:val="single"/>
        </w:rPr>
        <w:t>Hausbank- oder Endkreditnehmerwechsel</w:t>
      </w:r>
    </w:p>
    <w:p w:rsidR="002F1D1D" w:rsidRPr="006D2058" w:rsidRDefault="002F1D1D" w:rsidP="002F1D1D">
      <w:pPr>
        <w:jc w:val="both"/>
      </w:pPr>
    </w:p>
    <w:p w:rsidR="002F1D1D" w:rsidRPr="006D2058" w:rsidRDefault="002F1D1D" w:rsidP="0060038D">
      <w:pPr>
        <w:ind w:left="465"/>
        <w:jc w:val="both"/>
      </w:pPr>
      <w:r w:rsidRPr="00ED120E">
        <w:t>Im Falle eines Hausbank- oder Endkreditnehmerwechsels tritt der jeweils neue Ve</w:t>
      </w:r>
      <w:r w:rsidRPr="00ED120E">
        <w:t>r</w:t>
      </w:r>
      <w:r w:rsidRPr="00ED120E">
        <w:t xml:space="preserve">tragspartner in den bestehenden </w:t>
      </w:r>
      <w:r>
        <w:t>Kredit</w:t>
      </w:r>
      <w:r w:rsidRPr="00ED120E">
        <w:t>vertrag ein. Der neue Vertragspartner muss d</w:t>
      </w:r>
      <w:r w:rsidRPr="00ED120E">
        <w:t>a</w:t>
      </w:r>
      <w:r w:rsidRPr="00ED120E">
        <w:t xml:space="preserve">her auch bei Eintritt in einen </w:t>
      </w:r>
      <w:r>
        <w:t>Kredit</w:t>
      </w:r>
      <w:r w:rsidRPr="00ED120E">
        <w:t>vertrag ohne risiko</w:t>
      </w:r>
      <w:r>
        <w:t>gerecht</w:t>
      </w:r>
      <w:r w:rsidRPr="00ED120E">
        <w:t xml:space="preserve">es System die ursprünglich vereinbarten Zinssätze für den gesamten restlichen Zinsbindungszeitraum oder die </w:t>
      </w:r>
      <w:r>
        <w:t>Kr</w:t>
      </w:r>
      <w:r>
        <w:t>e</w:t>
      </w:r>
      <w:r>
        <w:t>dit</w:t>
      </w:r>
      <w:r w:rsidRPr="00ED120E">
        <w:t>laufzeit übernehmen.</w:t>
      </w:r>
    </w:p>
    <w:p w:rsidR="002F1D1D" w:rsidRPr="006D2058" w:rsidRDefault="002F1D1D" w:rsidP="002F1D1D">
      <w:pPr>
        <w:jc w:val="both"/>
      </w:pPr>
    </w:p>
    <w:p w:rsidR="002F1D1D" w:rsidRPr="0060038D" w:rsidRDefault="002F1D1D" w:rsidP="0060038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60038D">
        <w:rPr>
          <w:b/>
          <w:snapToGrid w:val="0"/>
          <w:u w:val="single"/>
        </w:rPr>
        <w:t>Abgrenzung der Geltung</w:t>
      </w:r>
    </w:p>
    <w:p w:rsidR="002F1D1D" w:rsidRDefault="002F1D1D" w:rsidP="002F1D1D">
      <w:pPr>
        <w:pStyle w:val="Textkrper-Zeileneinzug"/>
      </w:pPr>
    </w:p>
    <w:p w:rsidR="002F1D1D" w:rsidRPr="0012291B" w:rsidRDefault="002F1D1D" w:rsidP="0060038D">
      <w:pPr>
        <w:pStyle w:val="Textkrper-Zeileneinzug"/>
        <w:ind w:left="465" w:firstLine="0"/>
      </w:pPr>
      <w:r w:rsidRPr="0012291B">
        <w:t>Sind die Allgemeinen Geschäftsbedingungen der Hausbank unvereinbar mit diesen Al</w:t>
      </w:r>
      <w:r w:rsidRPr="0012291B">
        <w:t>l</w:t>
      </w:r>
      <w:r w:rsidRPr="0012291B">
        <w:t>gemeinen Bestimmungen, so gelten letztere vorrangig.</w:t>
      </w:r>
    </w:p>
    <w:p w:rsidR="002F1D1D" w:rsidRPr="0012291B" w:rsidRDefault="002F1D1D" w:rsidP="002F1D1D">
      <w:pPr>
        <w:pStyle w:val="Textkrper-Zeileneinzug"/>
      </w:pPr>
    </w:p>
    <w:p w:rsidR="002F1D1D" w:rsidRPr="0060038D" w:rsidRDefault="002F1D1D" w:rsidP="0060038D">
      <w:pPr>
        <w:widowControl w:val="0"/>
        <w:numPr>
          <w:ilvl w:val="0"/>
          <w:numId w:val="1"/>
        </w:numPr>
        <w:tabs>
          <w:tab w:val="clear" w:pos="465"/>
        </w:tabs>
        <w:jc w:val="both"/>
        <w:rPr>
          <w:b/>
          <w:snapToGrid w:val="0"/>
          <w:u w:val="single"/>
        </w:rPr>
      </w:pPr>
      <w:r w:rsidRPr="0060038D">
        <w:rPr>
          <w:b/>
          <w:snapToGrid w:val="0"/>
          <w:u w:val="single"/>
        </w:rPr>
        <w:t xml:space="preserve">Weitergeltung dieser Allgemeinen Bestimmungen </w:t>
      </w:r>
    </w:p>
    <w:p w:rsidR="0060038D" w:rsidRDefault="0060038D" w:rsidP="0060038D">
      <w:pPr>
        <w:pStyle w:val="Textkrper-Zeileneinzug"/>
        <w:ind w:left="465" w:firstLine="0"/>
      </w:pPr>
    </w:p>
    <w:p w:rsidR="004076DD" w:rsidRPr="00686556" w:rsidRDefault="002F1D1D" w:rsidP="0060038D">
      <w:pPr>
        <w:pStyle w:val="Textkrper-Zeileneinzug"/>
        <w:ind w:left="465" w:firstLine="0"/>
      </w:pPr>
      <w:r w:rsidRPr="0012291B">
        <w:t>Auch nach Auflösung der Geschäftsbeziehung oder einzelner Geschäftsbeziehungen gelten für die Abwicklung und in dem Abwicklungsverhältnis entsprechenden Umfang diese Allgemeinen Bestimmungen weiter.</w:t>
      </w:r>
    </w:p>
    <w:sectPr w:rsidR="004076DD" w:rsidRPr="00686556" w:rsidSect="000E35AA">
      <w:footerReference w:type="default" r:id="rId9"/>
      <w:footerReference w:type="first" r:id="rId10"/>
      <w:pgSz w:w="11906" w:h="16838" w:code="9"/>
      <w:pgMar w:top="170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34" w:rsidRDefault="002D7434">
      <w:r>
        <w:separator/>
      </w:r>
    </w:p>
  </w:endnote>
  <w:endnote w:type="continuationSeparator" w:id="0">
    <w:p w:rsidR="002D7434" w:rsidRDefault="002D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349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7434" w:rsidRPr="00951DD1" w:rsidRDefault="00951DD1" w:rsidP="005D656A">
            <w:pPr>
              <w:pStyle w:val="Fuzeile"/>
            </w:pPr>
            <w:r>
              <w:rPr>
                <w:b/>
                <w:sz w:val="16"/>
              </w:rPr>
              <w:t>WHHK004F0217</w:t>
            </w:r>
            <w:r w:rsidR="002D7434">
              <w:rPr>
                <w:b/>
                <w:sz w:val="16"/>
              </w:rPr>
              <w:tab/>
            </w:r>
            <w:r w:rsidR="002D7434">
              <w:rPr>
                <w:b/>
                <w:sz w:val="16"/>
              </w:rPr>
              <w:tab/>
            </w:r>
            <w:r w:rsidR="002D7434" w:rsidRPr="003C2182">
              <w:rPr>
                <w:sz w:val="16"/>
                <w:szCs w:val="16"/>
              </w:rPr>
              <w:t xml:space="preserve">Seite 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begin"/>
            </w:r>
            <w:r w:rsidR="002D7434" w:rsidRPr="003C2182">
              <w:rPr>
                <w:b/>
                <w:bCs/>
                <w:sz w:val="16"/>
                <w:szCs w:val="16"/>
              </w:rPr>
              <w:instrText>PAGE</w:instrTex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separate"/>
            </w:r>
            <w:r w:rsidR="00BD52CE">
              <w:rPr>
                <w:b/>
                <w:bCs/>
                <w:noProof/>
                <w:sz w:val="16"/>
                <w:szCs w:val="16"/>
              </w:rPr>
              <w:t>5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end"/>
            </w:r>
            <w:r w:rsidR="002D7434" w:rsidRPr="003C2182">
              <w:rPr>
                <w:sz w:val="16"/>
                <w:szCs w:val="16"/>
              </w:rPr>
              <w:t xml:space="preserve"> von 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begin"/>
            </w:r>
            <w:r w:rsidR="002D7434" w:rsidRPr="003C2182">
              <w:rPr>
                <w:b/>
                <w:bCs/>
                <w:sz w:val="16"/>
                <w:szCs w:val="16"/>
              </w:rPr>
              <w:instrText>NUMPAGES</w:instrTex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separate"/>
            </w:r>
            <w:r w:rsidR="00BD52CE">
              <w:rPr>
                <w:b/>
                <w:bCs/>
                <w:noProof/>
                <w:sz w:val="16"/>
                <w:szCs w:val="16"/>
              </w:rPr>
              <w:t>5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34" w:rsidRPr="005D656A" w:rsidRDefault="00800123" w:rsidP="005D656A">
    <w:pPr>
      <w:pStyle w:val="Fuzeile"/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682A6" wp14:editId="531EE010">
              <wp:simplePos x="0" y="0"/>
              <wp:positionH relativeFrom="column">
                <wp:posOffset>-646430</wp:posOffset>
              </wp:positionH>
              <wp:positionV relativeFrom="paragraph">
                <wp:posOffset>-4105275</wp:posOffset>
              </wp:positionV>
              <wp:extent cx="508000" cy="3429000"/>
              <wp:effectExtent l="0" t="0" r="635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342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123" w:rsidRPr="00800123" w:rsidRDefault="00800123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800123">
                            <w:rPr>
                              <w:rFonts w:ascii="Free 3 of 9 Extended" w:hAnsi="Free 3 of 9 Extended"/>
                              <w:sz w:val="72"/>
                            </w:rPr>
                            <w:t>*ZEBEWVERTU*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0.9pt;margin-top:-323.25pt;width:40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" filled="f" stroked="f" strokeweight=".5pt">
              <v:fill o:detectmouseclick="t"/>
              <v:textbox style="layout-flow:vertical;mso-layout-flow-alt:bottom-to-top" inset="0,0,0,0">
                <w:txbxContent>
                  <w:p w:rsidR="00800123" w:rsidRPr="00800123" w:rsidRDefault="00800123">
                    <w:pPr>
                      <w:rPr>
                        <w:rFonts w:cs="Arial"/>
                        <w:sz w:val="20"/>
                      </w:rPr>
                    </w:pPr>
                    <w:r w:rsidRPr="00800123">
                      <w:rPr>
                        <w:rFonts w:ascii="Free 3 of 9 Extended" w:hAnsi="Free 3 of 9 Extended"/>
                        <w:sz w:val="72"/>
                      </w:rPr>
                      <w:t>*ZEBEWVERTU*</w:t>
                    </w:r>
                  </w:p>
                </w:txbxContent>
              </v:textbox>
            </v:shape>
          </w:pict>
        </mc:Fallback>
      </mc:AlternateContent>
    </w:r>
    <w:r w:rsidR="003C2182" w:rsidRPr="003C2182">
      <w:rPr>
        <w:b/>
        <w:sz w:val="16"/>
      </w:rPr>
      <w:t>W</w:t>
    </w:r>
    <w:r w:rsidR="00951DD1">
      <w:rPr>
        <w:b/>
        <w:sz w:val="16"/>
      </w:rPr>
      <w:t>HHK004F0217</w:t>
    </w:r>
    <w:r w:rsidR="002D7434">
      <w:rPr>
        <w:b/>
        <w:sz w:val="16"/>
      </w:rPr>
      <w:tab/>
    </w:r>
    <w:sdt>
      <w:sdtPr>
        <w:id w:val="-345250511"/>
        <w:docPartObj>
          <w:docPartGallery w:val="Page Numbers (Bottom of Page)"/>
          <w:docPartUnique/>
        </w:docPartObj>
      </w:sdtPr>
      <w:sdtEndPr/>
      <w:sdtContent>
        <w:sdt>
          <w:sdtPr>
            <w:id w:val="-109667097"/>
            <w:docPartObj>
              <w:docPartGallery w:val="Page Numbers (Top of Page)"/>
              <w:docPartUnique/>
            </w:docPartObj>
          </w:sdtPr>
          <w:sdtEndPr/>
          <w:sdtContent>
            <w:r w:rsidR="002D7434">
              <w:tab/>
            </w:r>
            <w:r w:rsidR="002D7434" w:rsidRPr="003C2182">
              <w:rPr>
                <w:sz w:val="16"/>
                <w:szCs w:val="16"/>
              </w:rPr>
              <w:t xml:space="preserve">Seite 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begin"/>
            </w:r>
            <w:r w:rsidR="002D7434" w:rsidRPr="003C2182">
              <w:rPr>
                <w:b/>
                <w:bCs/>
                <w:sz w:val="16"/>
                <w:szCs w:val="16"/>
              </w:rPr>
              <w:instrText>PAGE</w:instrTex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separate"/>
            </w:r>
            <w:r w:rsidR="00BD52CE">
              <w:rPr>
                <w:b/>
                <w:bCs/>
                <w:noProof/>
                <w:sz w:val="16"/>
                <w:szCs w:val="16"/>
              </w:rPr>
              <w:t>1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end"/>
            </w:r>
            <w:r w:rsidR="002D7434" w:rsidRPr="003C2182">
              <w:rPr>
                <w:sz w:val="16"/>
                <w:szCs w:val="16"/>
              </w:rPr>
              <w:t xml:space="preserve"> von 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begin"/>
            </w:r>
            <w:r w:rsidR="002D7434" w:rsidRPr="003C2182">
              <w:rPr>
                <w:b/>
                <w:bCs/>
                <w:sz w:val="16"/>
                <w:szCs w:val="16"/>
              </w:rPr>
              <w:instrText>NUMPAGES</w:instrTex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separate"/>
            </w:r>
            <w:r w:rsidR="00BD52CE">
              <w:rPr>
                <w:b/>
                <w:bCs/>
                <w:noProof/>
                <w:sz w:val="16"/>
                <w:szCs w:val="16"/>
              </w:rPr>
              <w:t>5</w:t>
            </w:r>
            <w:r w:rsidR="00D508FE" w:rsidRPr="003C218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34" w:rsidRDefault="002D7434">
      <w:r>
        <w:separator/>
      </w:r>
    </w:p>
  </w:footnote>
  <w:footnote w:type="continuationSeparator" w:id="0">
    <w:p w:rsidR="002D7434" w:rsidRDefault="002D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5E"/>
    <w:multiLevelType w:val="hybridMultilevel"/>
    <w:tmpl w:val="661A520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A02"/>
    <w:multiLevelType w:val="hybridMultilevel"/>
    <w:tmpl w:val="278EC45C"/>
    <w:lvl w:ilvl="0" w:tplc="533CA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379"/>
    <w:multiLevelType w:val="hybridMultilevel"/>
    <w:tmpl w:val="C464A79E"/>
    <w:lvl w:ilvl="0" w:tplc="13CCCBA2">
      <w:start w:val="1"/>
      <w:numFmt w:val="lowerLetter"/>
      <w:lvlText w:val="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9620BC34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B1D27186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7EE466D2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FD0EB26C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863AFFD8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ABE63698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BAC0E6C8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211CA68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3">
    <w:nsid w:val="0FD21494"/>
    <w:multiLevelType w:val="singleLevel"/>
    <w:tmpl w:val="3C005624"/>
    <w:lvl w:ilvl="0">
      <w:start w:val="1"/>
      <w:numFmt w:val="lowerLetter"/>
      <w:lvlText w:val="%1)"/>
      <w:lvlJc w:val="left"/>
      <w:pPr>
        <w:tabs>
          <w:tab w:val="num" w:pos="997"/>
        </w:tabs>
        <w:ind w:left="997" w:hanging="450"/>
      </w:pPr>
      <w:rPr>
        <w:rFonts w:hint="default"/>
      </w:rPr>
    </w:lvl>
  </w:abstractNum>
  <w:abstractNum w:abstractNumId="4">
    <w:nsid w:val="16380B8B"/>
    <w:multiLevelType w:val="singleLevel"/>
    <w:tmpl w:val="AA3A1A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none"/>
      </w:rPr>
    </w:lvl>
  </w:abstractNum>
  <w:abstractNum w:abstractNumId="5">
    <w:nsid w:val="1FCC0F93"/>
    <w:multiLevelType w:val="singleLevel"/>
    <w:tmpl w:val="F1422E8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25611A"/>
    <w:multiLevelType w:val="singleLevel"/>
    <w:tmpl w:val="88689F7E"/>
    <w:lvl w:ilvl="0">
      <w:start w:val="1"/>
      <w:numFmt w:val="lowerLetter"/>
      <w:lvlText w:val="%1)"/>
      <w:lvlJc w:val="left"/>
      <w:pPr>
        <w:tabs>
          <w:tab w:val="num" w:pos="997"/>
        </w:tabs>
        <w:ind w:left="997" w:hanging="450"/>
      </w:pPr>
      <w:rPr>
        <w:rFonts w:hint="default"/>
      </w:rPr>
    </w:lvl>
  </w:abstractNum>
  <w:abstractNum w:abstractNumId="7">
    <w:nsid w:val="2ABB0DAC"/>
    <w:multiLevelType w:val="singleLevel"/>
    <w:tmpl w:val="AB1E22B8"/>
    <w:lvl w:ilvl="0">
      <w:start w:val="1"/>
      <w:numFmt w:val="lowerLetter"/>
      <w:lvlText w:val="%1)"/>
      <w:lvlJc w:val="left"/>
      <w:pPr>
        <w:tabs>
          <w:tab w:val="num" w:pos="913"/>
        </w:tabs>
        <w:ind w:left="913" w:hanging="448"/>
      </w:pPr>
      <w:rPr>
        <w:rFonts w:hint="default"/>
      </w:rPr>
    </w:lvl>
  </w:abstractNum>
  <w:abstractNum w:abstractNumId="8">
    <w:nsid w:val="2E750D9F"/>
    <w:multiLevelType w:val="singleLevel"/>
    <w:tmpl w:val="67FE0C02"/>
    <w:lvl w:ilvl="0">
      <w:start w:val="1"/>
      <w:numFmt w:val="lowerLetter"/>
      <w:lvlText w:val="%1)"/>
      <w:lvlJc w:val="left"/>
      <w:pPr>
        <w:tabs>
          <w:tab w:val="num" w:pos="997"/>
        </w:tabs>
        <w:ind w:left="997" w:hanging="450"/>
      </w:pPr>
      <w:rPr>
        <w:rFonts w:hint="default"/>
      </w:rPr>
    </w:lvl>
  </w:abstractNum>
  <w:abstractNum w:abstractNumId="9">
    <w:nsid w:val="312A526B"/>
    <w:multiLevelType w:val="hybridMultilevel"/>
    <w:tmpl w:val="C2FA7796"/>
    <w:lvl w:ilvl="0" w:tplc="04070015">
      <w:start w:val="1"/>
      <w:numFmt w:val="decimal"/>
      <w:lvlText w:val="(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23731E6"/>
    <w:multiLevelType w:val="singleLevel"/>
    <w:tmpl w:val="236C3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1">
    <w:nsid w:val="34573C7D"/>
    <w:multiLevelType w:val="singleLevel"/>
    <w:tmpl w:val="7DEC2690"/>
    <w:lvl w:ilvl="0">
      <w:start w:val="1"/>
      <w:numFmt w:val="lowerLetter"/>
      <w:lvlText w:val="%1)"/>
      <w:lvlJc w:val="left"/>
      <w:pPr>
        <w:tabs>
          <w:tab w:val="num" w:pos="913"/>
        </w:tabs>
        <w:ind w:left="913" w:hanging="448"/>
      </w:pPr>
      <w:rPr>
        <w:rFonts w:hint="default"/>
      </w:rPr>
    </w:lvl>
  </w:abstractNum>
  <w:abstractNum w:abstractNumId="12">
    <w:nsid w:val="398448DE"/>
    <w:multiLevelType w:val="singleLevel"/>
    <w:tmpl w:val="2A8CA152"/>
    <w:lvl w:ilvl="0">
      <w:start w:val="1"/>
      <w:numFmt w:val="lowerLetter"/>
      <w:lvlText w:val="%1)"/>
      <w:lvlJc w:val="left"/>
      <w:pPr>
        <w:tabs>
          <w:tab w:val="num" w:pos="997"/>
        </w:tabs>
        <w:ind w:left="997" w:hanging="450"/>
      </w:pPr>
      <w:rPr>
        <w:rFonts w:hint="default"/>
      </w:rPr>
    </w:lvl>
  </w:abstractNum>
  <w:abstractNum w:abstractNumId="13">
    <w:nsid w:val="3CCC25E9"/>
    <w:multiLevelType w:val="multilevel"/>
    <w:tmpl w:val="5ABA1E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4">
    <w:nsid w:val="503557D2"/>
    <w:multiLevelType w:val="hybridMultilevel"/>
    <w:tmpl w:val="2F040B90"/>
    <w:lvl w:ilvl="0" w:tplc="04070015">
      <w:start w:val="1"/>
      <w:numFmt w:val="decimal"/>
      <w:lvlText w:val="(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5B30B49"/>
    <w:multiLevelType w:val="singleLevel"/>
    <w:tmpl w:val="9D6249E2"/>
    <w:lvl w:ilvl="0">
      <w:start w:val="1"/>
      <w:numFmt w:val="lowerLetter"/>
      <w:lvlText w:val="%1)"/>
      <w:lvlJc w:val="left"/>
      <w:pPr>
        <w:tabs>
          <w:tab w:val="num" w:pos="997"/>
        </w:tabs>
        <w:ind w:left="997" w:hanging="450"/>
      </w:pPr>
      <w:rPr>
        <w:rFonts w:hint="default"/>
      </w:rPr>
    </w:lvl>
  </w:abstractNum>
  <w:abstractNum w:abstractNumId="16">
    <w:nsid w:val="61B824F8"/>
    <w:multiLevelType w:val="hybridMultilevel"/>
    <w:tmpl w:val="00AAF4AE"/>
    <w:lvl w:ilvl="0" w:tplc="3EE07A74">
      <w:start w:val="1"/>
      <w:numFmt w:val="lowerLetter"/>
      <w:lvlText w:val="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38C2CA1E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7AC2FA96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100CF302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340AAB26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755A8AD8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D8E65F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CC676B2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F0D248DA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7">
    <w:nsid w:val="66005D51"/>
    <w:multiLevelType w:val="singleLevel"/>
    <w:tmpl w:val="DE6A1122"/>
    <w:lvl w:ilvl="0">
      <w:start w:val="3"/>
      <w:numFmt w:val="none"/>
      <w:lvlText w:val="e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0207C0"/>
    <w:multiLevelType w:val="hybridMultilevel"/>
    <w:tmpl w:val="E0581F4A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201EA"/>
    <w:multiLevelType w:val="hybridMultilevel"/>
    <w:tmpl w:val="05AAB482"/>
    <w:lvl w:ilvl="0" w:tplc="04070015">
      <w:start w:val="1"/>
      <w:numFmt w:val="decimal"/>
      <w:lvlText w:val="(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72520FF0"/>
    <w:multiLevelType w:val="hybridMultilevel"/>
    <w:tmpl w:val="1B669C70"/>
    <w:lvl w:ilvl="0" w:tplc="04070017">
      <w:start w:val="1"/>
      <w:numFmt w:val="lowerLetter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>
    <w:nsid w:val="738911BB"/>
    <w:multiLevelType w:val="hybridMultilevel"/>
    <w:tmpl w:val="BF20C0FE"/>
    <w:lvl w:ilvl="0" w:tplc="69B01A82">
      <w:start w:val="1"/>
      <w:numFmt w:val="lowerLetter"/>
      <w:lvlText w:val="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608C6344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A986ED0E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EF6A658C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413AC812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7709860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E589C9A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3DFE884C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43CAEB82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2">
    <w:nsid w:val="76A57C2D"/>
    <w:multiLevelType w:val="hybridMultilevel"/>
    <w:tmpl w:val="613CA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00B4C"/>
    <w:multiLevelType w:val="singleLevel"/>
    <w:tmpl w:val="1D8CC53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E9C0CE8"/>
    <w:multiLevelType w:val="singleLevel"/>
    <w:tmpl w:val="8F80CF38"/>
    <w:lvl w:ilvl="0">
      <w:start w:val="1"/>
      <w:numFmt w:val="lowerLetter"/>
      <w:lvlText w:val="%1)"/>
      <w:lvlJc w:val="left"/>
      <w:pPr>
        <w:tabs>
          <w:tab w:val="num" w:pos="997"/>
        </w:tabs>
        <w:ind w:left="997" w:hanging="45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6"/>
  </w:num>
  <w:num w:numId="11">
    <w:abstractNumId w:val="2"/>
  </w:num>
  <w:num w:numId="12">
    <w:abstractNumId w:val="21"/>
  </w:num>
  <w:num w:numId="13">
    <w:abstractNumId w:val="5"/>
  </w:num>
  <w:num w:numId="14">
    <w:abstractNumId w:val="13"/>
  </w:num>
  <w:num w:numId="15">
    <w:abstractNumId w:val="17"/>
  </w:num>
  <w:num w:numId="16">
    <w:abstractNumId w:val="23"/>
  </w:num>
  <w:num w:numId="17">
    <w:abstractNumId w:val="0"/>
  </w:num>
  <w:num w:numId="18">
    <w:abstractNumId w:val="18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19"/>
  </w:num>
  <w:num w:numId="24">
    <w:abstractNumId w:val="20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m9Bw98hHaZ1hZrHRpV6mIGtvvo=" w:salt="zvUxFSWrX+Sj57ItR0cSY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A"/>
    <w:rsid w:val="000070EB"/>
    <w:rsid w:val="0003604C"/>
    <w:rsid w:val="00037377"/>
    <w:rsid w:val="000B26E6"/>
    <w:rsid w:val="000D0578"/>
    <w:rsid w:val="000D3771"/>
    <w:rsid w:val="000E35AA"/>
    <w:rsid w:val="000E362F"/>
    <w:rsid w:val="00104799"/>
    <w:rsid w:val="00106A1B"/>
    <w:rsid w:val="00123898"/>
    <w:rsid w:val="00150C94"/>
    <w:rsid w:val="00152F88"/>
    <w:rsid w:val="001579A8"/>
    <w:rsid w:val="001658C4"/>
    <w:rsid w:val="001912A5"/>
    <w:rsid w:val="001A1B31"/>
    <w:rsid w:val="001B0AF9"/>
    <w:rsid w:val="001E1DC6"/>
    <w:rsid w:val="00211902"/>
    <w:rsid w:val="00211A80"/>
    <w:rsid w:val="00250603"/>
    <w:rsid w:val="0025145F"/>
    <w:rsid w:val="00262E82"/>
    <w:rsid w:val="002B1B07"/>
    <w:rsid w:val="002D7434"/>
    <w:rsid w:val="002F1BB2"/>
    <w:rsid w:val="002F1D1D"/>
    <w:rsid w:val="00334F78"/>
    <w:rsid w:val="00370453"/>
    <w:rsid w:val="00390BB1"/>
    <w:rsid w:val="003B5FBD"/>
    <w:rsid w:val="003C2182"/>
    <w:rsid w:val="003F2C79"/>
    <w:rsid w:val="004076DD"/>
    <w:rsid w:val="00415761"/>
    <w:rsid w:val="0043617C"/>
    <w:rsid w:val="00442079"/>
    <w:rsid w:val="00485999"/>
    <w:rsid w:val="004B7FAE"/>
    <w:rsid w:val="004C2937"/>
    <w:rsid w:val="004C48F4"/>
    <w:rsid w:val="004D246F"/>
    <w:rsid w:val="004D6E4A"/>
    <w:rsid w:val="004E7BFE"/>
    <w:rsid w:val="004F50A2"/>
    <w:rsid w:val="005040DF"/>
    <w:rsid w:val="0051722B"/>
    <w:rsid w:val="00550462"/>
    <w:rsid w:val="00553F77"/>
    <w:rsid w:val="00593028"/>
    <w:rsid w:val="005A7D37"/>
    <w:rsid w:val="005D656A"/>
    <w:rsid w:val="005E0FD3"/>
    <w:rsid w:val="005F04CF"/>
    <w:rsid w:val="0060038D"/>
    <w:rsid w:val="00622B2F"/>
    <w:rsid w:val="00643E6E"/>
    <w:rsid w:val="00664909"/>
    <w:rsid w:val="00676897"/>
    <w:rsid w:val="0068166B"/>
    <w:rsid w:val="00686556"/>
    <w:rsid w:val="0069593E"/>
    <w:rsid w:val="006B03F5"/>
    <w:rsid w:val="006C5000"/>
    <w:rsid w:val="006E2A18"/>
    <w:rsid w:val="00724BD7"/>
    <w:rsid w:val="00747879"/>
    <w:rsid w:val="00750803"/>
    <w:rsid w:val="007828FE"/>
    <w:rsid w:val="007849D7"/>
    <w:rsid w:val="007B0833"/>
    <w:rsid w:val="007D66E3"/>
    <w:rsid w:val="007E16E2"/>
    <w:rsid w:val="007E39FD"/>
    <w:rsid w:val="00800123"/>
    <w:rsid w:val="00802B10"/>
    <w:rsid w:val="0082077B"/>
    <w:rsid w:val="008865A5"/>
    <w:rsid w:val="00897BAA"/>
    <w:rsid w:val="008A4412"/>
    <w:rsid w:val="008C76D9"/>
    <w:rsid w:val="008D7A31"/>
    <w:rsid w:val="008E7CF4"/>
    <w:rsid w:val="008F513F"/>
    <w:rsid w:val="00913660"/>
    <w:rsid w:val="00923272"/>
    <w:rsid w:val="009247DF"/>
    <w:rsid w:val="009309BC"/>
    <w:rsid w:val="00941067"/>
    <w:rsid w:val="00946F02"/>
    <w:rsid w:val="009479F3"/>
    <w:rsid w:val="00951DD1"/>
    <w:rsid w:val="00960671"/>
    <w:rsid w:val="00962EB3"/>
    <w:rsid w:val="00985F6A"/>
    <w:rsid w:val="009A6EF7"/>
    <w:rsid w:val="009C4F8A"/>
    <w:rsid w:val="009C6806"/>
    <w:rsid w:val="009F7DA5"/>
    <w:rsid w:val="00A06C1D"/>
    <w:rsid w:val="00A4006C"/>
    <w:rsid w:val="00AA0E61"/>
    <w:rsid w:val="00AC3357"/>
    <w:rsid w:val="00AC686A"/>
    <w:rsid w:val="00B5583A"/>
    <w:rsid w:val="00B603C5"/>
    <w:rsid w:val="00B76230"/>
    <w:rsid w:val="00BD52CE"/>
    <w:rsid w:val="00BF31B1"/>
    <w:rsid w:val="00C1074B"/>
    <w:rsid w:val="00C15E1C"/>
    <w:rsid w:val="00C63BD8"/>
    <w:rsid w:val="00C918E8"/>
    <w:rsid w:val="00CA2A69"/>
    <w:rsid w:val="00CC2E60"/>
    <w:rsid w:val="00CD0F81"/>
    <w:rsid w:val="00CE5870"/>
    <w:rsid w:val="00CF4B69"/>
    <w:rsid w:val="00D043B0"/>
    <w:rsid w:val="00D05C09"/>
    <w:rsid w:val="00D25B75"/>
    <w:rsid w:val="00D34798"/>
    <w:rsid w:val="00D508FE"/>
    <w:rsid w:val="00D558FC"/>
    <w:rsid w:val="00DA38F1"/>
    <w:rsid w:val="00DA5479"/>
    <w:rsid w:val="00DB640C"/>
    <w:rsid w:val="00DC02D7"/>
    <w:rsid w:val="00DC098C"/>
    <w:rsid w:val="00DC1791"/>
    <w:rsid w:val="00DC4422"/>
    <w:rsid w:val="00DE46D9"/>
    <w:rsid w:val="00DF528E"/>
    <w:rsid w:val="00E05719"/>
    <w:rsid w:val="00E11F7A"/>
    <w:rsid w:val="00E24594"/>
    <w:rsid w:val="00E25586"/>
    <w:rsid w:val="00E74ABB"/>
    <w:rsid w:val="00E91558"/>
    <w:rsid w:val="00EB7B06"/>
    <w:rsid w:val="00EB7DF3"/>
    <w:rsid w:val="00EE0B13"/>
    <w:rsid w:val="00F24402"/>
    <w:rsid w:val="00F3517C"/>
    <w:rsid w:val="00F53F12"/>
    <w:rsid w:val="00F61A22"/>
    <w:rsid w:val="00F77274"/>
    <w:rsid w:val="00F84DFD"/>
    <w:rsid w:val="00F969E9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napToGrid w:val="0"/>
      <w:u w:val="single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 w:hanging="720"/>
      <w:jc w:val="both"/>
    </w:pPr>
  </w:style>
  <w:style w:type="paragraph" w:styleId="Textkrper2">
    <w:name w:val="Body Text 2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Textkrper-Einzug2">
    <w:name w:val="Body Text Indent 2"/>
    <w:basedOn w:val="Standard"/>
    <w:pPr>
      <w:ind w:left="705"/>
      <w:jc w:val="both"/>
    </w:pPr>
  </w:style>
  <w:style w:type="paragraph" w:styleId="Textkrper-Einzug3">
    <w:name w:val="Body Text Indent 3"/>
    <w:basedOn w:val="Standard"/>
    <w:pPr>
      <w:widowControl w:val="0"/>
      <w:tabs>
        <w:tab w:val="left" w:pos="443"/>
        <w:tab w:val="left" w:pos="1160"/>
        <w:tab w:val="left" w:pos="1210"/>
      </w:tabs>
      <w:ind w:left="1160" w:hanging="717"/>
      <w:jc w:val="both"/>
    </w:pPr>
    <w:rPr>
      <w:rFonts w:ascii="Courier New" w:hAnsi="Courier New"/>
      <w:snapToGrid w:val="0"/>
      <w:sz w:val="19"/>
    </w:rPr>
  </w:style>
  <w:style w:type="paragraph" w:styleId="Titel">
    <w:name w:val="Title"/>
    <w:basedOn w:val="Standard"/>
    <w:qFormat/>
    <w:pPr>
      <w:widowControl w:val="0"/>
      <w:tabs>
        <w:tab w:val="right" w:pos="6946"/>
      </w:tabs>
      <w:jc w:val="center"/>
    </w:pPr>
    <w:rPr>
      <w:b/>
      <w:snapToGrid w:val="0"/>
      <w:u w:val="single"/>
    </w:rPr>
  </w:style>
  <w:style w:type="paragraph" w:styleId="Sprechblasentext">
    <w:name w:val="Balloon Text"/>
    <w:basedOn w:val="Standard"/>
    <w:semiHidden/>
    <w:rsid w:val="0012389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D7A31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2F1D1D"/>
    <w:pPr>
      <w:ind w:left="720"/>
      <w:contextualSpacing/>
    </w:pPr>
  </w:style>
  <w:style w:type="paragraph" w:styleId="Textkrper3">
    <w:name w:val="Body Text 3"/>
    <w:basedOn w:val="Standard"/>
    <w:link w:val="Textkrper3Zchn"/>
    <w:rsid w:val="002F1D1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F1D1D"/>
    <w:rPr>
      <w:rFonts w:ascii="Arial" w:hAnsi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D656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napToGrid w:val="0"/>
      <w:u w:val="single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 w:hanging="720"/>
      <w:jc w:val="both"/>
    </w:pPr>
  </w:style>
  <w:style w:type="paragraph" w:styleId="Textkrper2">
    <w:name w:val="Body Text 2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Textkrper-Einzug2">
    <w:name w:val="Body Text Indent 2"/>
    <w:basedOn w:val="Standard"/>
    <w:pPr>
      <w:ind w:left="705"/>
      <w:jc w:val="both"/>
    </w:pPr>
  </w:style>
  <w:style w:type="paragraph" w:styleId="Textkrper-Einzug3">
    <w:name w:val="Body Text Indent 3"/>
    <w:basedOn w:val="Standard"/>
    <w:pPr>
      <w:widowControl w:val="0"/>
      <w:tabs>
        <w:tab w:val="left" w:pos="443"/>
        <w:tab w:val="left" w:pos="1160"/>
        <w:tab w:val="left" w:pos="1210"/>
      </w:tabs>
      <w:ind w:left="1160" w:hanging="717"/>
      <w:jc w:val="both"/>
    </w:pPr>
    <w:rPr>
      <w:rFonts w:ascii="Courier New" w:hAnsi="Courier New"/>
      <w:snapToGrid w:val="0"/>
      <w:sz w:val="19"/>
    </w:rPr>
  </w:style>
  <w:style w:type="paragraph" w:styleId="Titel">
    <w:name w:val="Title"/>
    <w:basedOn w:val="Standard"/>
    <w:qFormat/>
    <w:pPr>
      <w:widowControl w:val="0"/>
      <w:tabs>
        <w:tab w:val="right" w:pos="6946"/>
      </w:tabs>
      <w:jc w:val="center"/>
    </w:pPr>
    <w:rPr>
      <w:b/>
      <w:snapToGrid w:val="0"/>
      <w:u w:val="single"/>
    </w:rPr>
  </w:style>
  <w:style w:type="paragraph" w:styleId="Sprechblasentext">
    <w:name w:val="Balloon Text"/>
    <w:basedOn w:val="Standard"/>
    <w:semiHidden/>
    <w:rsid w:val="0012389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D7A31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2F1D1D"/>
    <w:pPr>
      <w:ind w:left="720"/>
      <w:contextualSpacing/>
    </w:pPr>
  </w:style>
  <w:style w:type="paragraph" w:styleId="Textkrper3">
    <w:name w:val="Body Text 3"/>
    <w:basedOn w:val="Standard"/>
    <w:link w:val="Textkrper3Zchn"/>
    <w:rsid w:val="002F1D1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F1D1D"/>
    <w:rPr>
      <w:rFonts w:ascii="Arial" w:hAnsi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D65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1015-CE3E-4906-A10A-80DA157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JV00 -                                                                                                                        19</vt:lpstr>
    </vt:vector>
  </TitlesOfParts>
  <Company>HWK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Bestimmungen - Vertragsverhältnis Hausbank - Endkreditnehmer / - Fassung 08/2013 -</dc:title>
  <dc:subject>Bewilligungs- und Vertragsunterlagen</dc:subject>
  <dc:creator>gerke</dc:creator>
  <cp:lastModifiedBy>Froeck, Stephanie</cp:lastModifiedBy>
  <cp:revision>14</cp:revision>
  <cp:lastPrinted>2017-02-28T08:06:00Z</cp:lastPrinted>
  <dcterms:created xsi:type="dcterms:W3CDTF">2017-02-28T08:06:00Z</dcterms:created>
  <dcterms:modified xsi:type="dcterms:W3CDTF">2020-02-17T13:02:00Z</dcterms:modified>
  <cp:category>ZABEWVERTU</cp:category>
</cp:coreProperties>
</file>